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Figure"/>
        <w:jc w:val="left"/>
        <w:rPr>
          <w:rStyle w:val="ProgramNameChar"/>
          <w:b/>
          <w:sz w:val="32"/>
          <w:szCs w:val="32"/>
        </w:rPr>
      </w:pPr>
      <w:r>
        <w:rPr>
          <w:rStyle w:val="ProgramNameChar"/>
          <w:b/>
          <w:sz w:val="32"/>
          <w:szCs w:val="32"/>
        </w:rPr>
        <w:t>Prepared for:</w:t>
      </w:r>
    </w:p>
    <w:p>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pPr>
        <w:pStyle w:val="CustomerProgram"/>
        <w:spacing w:before="720"/>
      </w:pPr>
      <w:r>
        <w:t>Technical Authority for the Unified Clinical Quality Improvement Framework</w:t>
      </w:r>
    </w:p>
    <w:p>
      <w:pPr>
        <w:pStyle w:val="DocTitle"/>
        <w:spacing w:before="1080"/>
        <w:ind w:left="0"/>
        <w:rPr>
          <w:rStyle w:val="CustomerProgramChar"/>
          <w:sz w:val="36"/>
        </w:rPr>
      </w:pPr>
      <w:r>
        <w:t>Bonnie User Guide</w:t>
      </w:r>
    </w:p>
    <w:p>
      <w:pPr>
        <w:pStyle w:val="Version"/>
      </w:pPr>
      <w:r>
        <w:t>Version 1.5</w:t>
      </w:r>
    </w:p>
    <w:p>
      <w:pPr>
        <w:pStyle w:val="PubDate"/>
      </w:pPr>
      <w:r>
        <w:t>November 18, 2016</w:t>
      </w:r>
    </w:p>
    <w:p>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pPr>
        <w:pStyle w:val="Disclaimer"/>
        <w:spacing w:before="120" w:after="120"/>
      </w:pPr>
      <w:r>
        <w:t>Approved for Public Release; Distribution Unlimited. Case Number 13-4297.</w:t>
      </w:r>
    </w:p>
    <w:p>
      <w:pPr>
        <w:pStyle w:val="Disclaimer"/>
        <w:spacing w:before="120" w:after="120"/>
      </w:pPr>
      <w:r>
        <w:t>© 2016, The MITRE Corporation. All Rights Reserved.</w:t>
      </w:r>
    </w:p>
    <w:p/>
    <w:p>
      <w:pPr>
        <w:sectPr>
          <w:headerReference w:type="default" r:id="rId11"/>
          <w:footerReference w:type="default" r:id="rId12"/>
          <w:pgSz w:w="12240" w:h="15840" w:code="1"/>
          <w:pgMar w:top="1440" w:right="1440" w:bottom="1440" w:left="1440" w:header="504" w:footer="504" w:gutter="0"/>
          <w:pgNumType w:fmt="lowerRoman" w:start="1"/>
          <w:cols w:space="720"/>
          <w:titlePg/>
        </w:sectPr>
      </w:pPr>
    </w:p>
    <w:p>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Description of Change</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Initial draft</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1.1</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1.3</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Update for Bonnie v 1.4</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1.5</w:t>
            </w:r>
          </w:p>
        </w:tc>
      </w:tr>
      <w:tr>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bl>
    <w:p>
      <w:pPr>
        <w:pStyle w:val="LineSpacer"/>
        <w:spacing w:after="120"/>
      </w:pPr>
    </w:p>
    <w:p>
      <w:pPr>
        <w:pStyle w:val="TableText"/>
        <w:spacing w:before="0" w:after="120"/>
      </w:pPr>
    </w:p>
    <w:p>
      <w:pPr>
        <w:sectPr>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pPr>
        <w:pStyle w:val="FrontMatterHeader"/>
        <w:spacing w:after="120"/>
      </w:pPr>
      <w:r>
        <w:lastRenderedPageBreak/>
        <w:t>Table of Contents</w:t>
      </w:r>
    </w:p>
    <w:p>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67271945"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_Toc467271945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67271946"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_Toc467271946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67271947"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_Toc467271947 \h </w:instrText>
        </w:r>
        <w:r>
          <w:rPr>
            <w:webHidden/>
          </w:rPr>
        </w:r>
        <w:r>
          <w:rPr>
            <w:webHidden/>
          </w:rPr>
          <w:fldChar w:fldCharType="separate"/>
        </w:r>
        <w:r>
          <w:rPr>
            <w:webHidden/>
          </w:rPr>
          <w:t>1</w:t>
        </w:r>
        <w:r>
          <w:rPr>
            <w:webHidden/>
          </w:rPr>
          <w:fldChar w:fldCharType="end"/>
        </w:r>
      </w:hyperlink>
    </w:p>
    <w:p>
      <w:pPr>
        <w:pStyle w:val="TOC1"/>
        <w:rPr>
          <w:rFonts w:asciiTheme="minorHAnsi" w:eastAsiaTheme="minorEastAsia" w:hAnsiTheme="minorHAnsi" w:cstheme="minorBidi"/>
          <w:b w:val="0"/>
          <w:sz w:val="22"/>
          <w:szCs w:val="22"/>
        </w:rPr>
      </w:pPr>
      <w:hyperlink w:anchor="_Toc467271948"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_Toc467271948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67271949"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_Toc467271949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67271950"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_Toc467271950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67271951"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_Toc467271951 \h </w:instrText>
        </w:r>
        <w:r>
          <w:rPr>
            <w:webHidden/>
          </w:rPr>
        </w:r>
        <w:r>
          <w:rPr>
            <w:webHidden/>
          </w:rPr>
          <w:fldChar w:fldCharType="separate"/>
        </w:r>
        <w:r>
          <w:rPr>
            <w:webHidden/>
          </w:rPr>
          <w:t>4</w:t>
        </w:r>
        <w:r>
          <w:rPr>
            <w:webHidden/>
          </w:rPr>
          <w:fldChar w:fldCharType="end"/>
        </w:r>
      </w:hyperlink>
    </w:p>
    <w:p>
      <w:pPr>
        <w:pStyle w:val="TOC2"/>
        <w:rPr>
          <w:rFonts w:asciiTheme="minorHAnsi" w:eastAsiaTheme="minorEastAsia" w:hAnsiTheme="minorHAnsi" w:cstheme="minorBidi"/>
          <w:sz w:val="22"/>
          <w:szCs w:val="22"/>
        </w:rPr>
      </w:pPr>
      <w:hyperlink w:anchor="_Toc467271952"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_Toc467271952 \h </w:instrText>
        </w:r>
        <w:r>
          <w:rPr>
            <w:webHidden/>
          </w:rPr>
        </w:r>
        <w:r>
          <w:rPr>
            <w:webHidden/>
          </w:rPr>
          <w:fldChar w:fldCharType="separate"/>
        </w:r>
        <w:r>
          <w:rPr>
            <w:webHidden/>
          </w:rPr>
          <w:t>5</w:t>
        </w:r>
        <w:r>
          <w:rPr>
            <w:webHidden/>
          </w:rPr>
          <w:fldChar w:fldCharType="end"/>
        </w:r>
      </w:hyperlink>
    </w:p>
    <w:p>
      <w:pPr>
        <w:pStyle w:val="TOC1"/>
        <w:rPr>
          <w:rFonts w:asciiTheme="minorHAnsi" w:eastAsiaTheme="minorEastAsia" w:hAnsiTheme="minorHAnsi" w:cstheme="minorBidi"/>
          <w:b w:val="0"/>
          <w:sz w:val="22"/>
          <w:szCs w:val="22"/>
        </w:rPr>
      </w:pPr>
      <w:hyperlink w:anchor="_Toc467271953"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_Toc467271953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67271954"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_Toc467271954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67271955"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_Toc467271955 \h </w:instrText>
        </w:r>
        <w:r>
          <w:rPr>
            <w:webHidden/>
          </w:rPr>
        </w:r>
        <w:r>
          <w:rPr>
            <w:webHidden/>
          </w:rPr>
          <w:fldChar w:fldCharType="separate"/>
        </w:r>
        <w:r>
          <w:rPr>
            <w:webHidden/>
          </w:rPr>
          <w:t>7</w:t>
        </w:r>
        <w:r>
          <w:rPr>
            <w:webHidden/>
          </w:rPr>
          <w:fldChar w:fldCharType="end"/>
        </w:r>
      </w:hyperlink>
    </w:p>
    <w:p>
      <w:pPr>
        <w:pStyle w:val="TOC2"/>
        <w:rPr>
          <w:rFonts w:asciiTheme="minorHAnsi" w:eastAsiaTheme="minorEastAsia" w:hAnsiTheme="minorHAnsi" w:cstheme="minorBidi"/>
          <w:sz w:val="22"/>
          <w:szCs w:val="22"/>
        </w:rPr>
      </w:pPr>
      <w:hyperlink w:anchor="_Toc467271956"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_Toc467271956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67271957"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_Toc467271957 \h </w:instrText>
        </w:r>
        <w:r>
          <w:rPr>
            <w:webHidden/>
          </w:rPr>
        </w:r>
        <w:r>
          <w:rPr>
            <w:webHidden/>
          </w:rPr>
          <w:fldChar w:fldCharType="separate"/>
        </w:r>
        <w:r>
          <w:rPr>
            <w:webHidden/>
          </w:rPr>
          <w:t>10</w:t>
        </w:r>
        <w:r>
          <w:rPr>
            <w:webHidden/>
          </w:rPr>
          <w:fldChar w:fldCharType="end"/>
        </w:r>
      </w:hyperlink>
    </w:p>
    <w:p>
      <w:pPr>
        <w:pStyle w:val="TOC1"/>
        <w:rPr>
          <w:rFonts w:asciiTheme="minorHAnsi" w:eastAsiaTheme="minorEastAsia" w:hAnsiTheme="minorHAnsi" w:cstheme="minorBidi"/>
          <w:b w:val="0"/>
          <w:sz w:val="22"/>
          <w:szCs w:val="22"/>
        </w:rPr>
      </w:pPr>
      <w:hyperlink w:anchor="_Toc467271958"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_Toc467271958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67271959"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_Toc467271959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67271960"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_Toc467271960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67271961"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_Toc467271961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67271962"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_Toc467271962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67271963"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_Toc467271963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67271964"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_Toc467271964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67271965"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_Toc467271965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67271966"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_Toc467271966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67271967"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_Toc467271967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67271968"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_Toc467271968 \h </w:instrText>
        </w:r>
        <w:r>
          <w:rPr>
            <w:webHidden/>
          </w:rPr>
        </w:r>
        <w:r>
          <w:rPr>
            <w:webHidden/>
          </w:rPr>
          <w:fldChar w:fldCharType="separate"/>
        </w:r>
        <w:r>
          <w:rPr>
            <w:webHidden/>
          </w:rPr>
          <w:t>18</w:t>
        </w:r>
        <w:r>
          <w:rPr>
            <w:webHidden/>
          </w:rPr>
          <w:fldChar w:fldCharType="end"/>
        </w:r>
      </w:hyperlink>
    </w:p>
    <w:p>
      <w:pPr>
        <w:pStyle w:val="TOC1"/>
        <w:rPr>
          <w:rFonts w:asciiTheme="minorHAnsi" w:eastAsiaTheme="minorEastAsia" w:hAnsiTheme="minorHAnsi" w:cstheme="minorBidi"/>
          <w:b w:val="0"/>
          <w:sz w:val="22"/>
          <w:szCs w:val="22"/>
        </w:rPr>
      </w:pPr>
      <w:hyperlink w:anchor="_Toc467271969"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_Toc467271969 \h </w:instrText>
        </w:r>
        <w:r>
          <w:rPr>
            <w:webHidden/>
          </w:rPr>
        </w:r>
        <w:r>
          <w:rPr>
            <w:webHidden/>
          </w:rPr>
          <w:fldChar w:fldCharType="separate"/>
        </w:r>
        <w:r>
          <w:rPr>
            <w:webHidden/>
          </w:rPr>
          <w:t>19</w:t>
        </w:r>
        <w:r>
          <w:rPr>
            <w:webHidden/>
          </w:rPr>
          <w:fldChar w:fldCharType="end"/>
        </w:r>
      </w:hyperlink>
    </w:p>
    <w:p>
      <w:pPr>
        <w:pStyle w:val="TOC2"/>
        <w:rPr>
          <w:rFonts w:asciiTheme="minorHAnsi" w:eastAsiaTheme="minorEastAsia" w:hAnsiTheme="minorHAnsi" w:cstheme="minorBidi"/>
          <w:sz w:val="22"/>
          <w:szCs w:val="22"/>
        </w:rPr>
      </w:pPr>
      <w:hyperlink w:anchor="_Toc467271970"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_Toc467271970 \h </w:instrText>
        </w:r>
        <w:r>
          <w:rPr>
            <w:webHidden/>
          </w:rPr>
        </w:r>
        <w:r>
          <w:rPr>
            <w:webHidden/>
          </w:rPr>
          <w:fldChar w:fldCharType="separate"/>
        </w:r>
        <w:r>
          <w:rPr>
            <w:webHidden/>
          </w:rPr>
          <w:t>19</w:t>
        </w:r>
        <w:r>
          <w:rPr>
            <w:webHidden/>
          </w:rPr>
          <w:fldChar w:fldCharType="end"/>
        </w:r>
      </w:hyperlink>
    </w:p>
    <w:p>
      <w:pPr>
        <w:pStyle w:val="TOC2"/>
        <w:rPr>
          <w:rFonts w:asciiTheme="minorHAnsi" w:eastAsiaTheme="minorEastAsia" w:hAnsiTheme="minorHAnsi" w:cstheme="minorBidi"/>
          <w:sz w:val="22"/>
          <w:szCs w:val="22"/>
        </w:rPr>
      </w:pPr>
      <w:hyperlink w:anchor="_Toc467271971"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_Toc467271971 \h </w:instrText>
        </w:r>
        <w:r>
          <w:rPr>
            <w:webHidden/>
          </w:rPr>
        </w:r>
        <w:r>
          <w:rPr>
            <w:webHidden/>
          </w:rPr>
          <w:fldChar w:fldCharType="separate"/>
        </w:r>
        <w:r>
          <w:rPr>
            <w:webHidden/>
          </w:rPr>
          <w:t>20</w:t>
        </w:r>
        <w:r>
          <w:rPr>
            <w:webHidden/>
          </w:rPr>
          <w:fldChar w:fldCharType="end"/>
        </w:r>
      </w:hyperlink>
    </w:p>
    <w:p>
      <w:pPr>
        <w:pStyle w:val="TOC2"/>
        <w:rPr>
          <w:rFonts w:asciiTheme="minorHAnsi" w:eastAsiaTheme="minorEastAsia" w:hAnsiTheme="minorHAnsi" w:cstheme="minorBidi"/>
          <w:sz w:val="22"/>
          <w:szCs w:val="22"/>
        </w:rPr>
      </w:pPr>
      <w:hyperlink w:anchor="_Toc467271972"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_Toc467271972 \h </w:instrText>
        </w:r>
        <w:r>
          <w:rPr>
            <w:webHidden/>
          </w:rPr>
        </w:r>
        <w:r>
          <w:rPr>
            <w:webHidden/>
          </w:rPr>
          <w:fldChar w:fldCharType="separate"/>
        </w:r>
        <w:r>
          <w:rPr>
            <w:webHidden/>
          </w:rPr>
          <w:t>21</w:t>
        </w:r>
        <w:r>
          <w:rPr>
            <w:webHidden/>
          </w:rPr>
          <w:fldChar w:fldCharType="end"/>
        </w:r>
      </w:hyperlink>
    </w:p>
    <w:p>
      <w:pPr>
        <w:pStyle w:val="TOC3"/>
        <w:rPr>
          <w:rFonts w:asciiTheme="minorHAnsi" w:eastAsiaTheme="minorEastAsia" w:hAnsiTheme="minorHAnsi" w:cstheme="minorBidi"/>
          <w:noProof/>
          <w:sz w:val="22"/>
          <w:szCs w:val="22"/>
        </w:rPr>
      </w:pPr>
      <w:hyperlink w:anchor="_Toc467271973"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_Toc467271973 \h </w:instrText>
        </w:r>
        <w:r>
          <w:rPr>
            <w:noProof/>
            <w:webHidden/>
          </w:rPr>
        </w:r>
        <w:r>
          <w:rPr>
            <w:noProof/>
            <w:webHidden/>
          </w:rPr>
          <w:fldChar w:fldCharType="separate"/>
        </w:r>
        <w:r>
          <w:rPr>
            <w:noProof/>
            <w:webHidden/>
          </w:rPr>
          <w:t>23</w:t>
        </w:r>
        <w:r>
          <w:rPr>
            <w:noProof/>
            <w:webHidden/>
          </w:rPr>
          <w:fldChar w:fldCharType="end"/>
        </w:r>
      </w:hyperlink>
    </w:p>
    <w:p>
      <w:pPr>
        <w:pStyle w:val="TOC3"/>
        <w:rPr>
          <w:rFonts w:asciiTheme="minorHAnsi" w:eastAsiaTheme="minorEastAsia" w:hAnsiTheme="minorHAnsi" w:cstheme="minorBidi"/>
          <w:noProof/>
          <w:sz w:val="22"/>
          <w:szCs w:val="22"/>
        </w:rPr>
      </w:pPr>
      <w:hyperlink w:anchor="_Toc467271974"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_Toc467271974 \h </w:instrText>
        </w:r>
        <w:r>
          <w:rPr>
            <w:noProof/>
            <w:webHidden/>
          </w:rPr>
        </w:r>
        <w:r>
          <w:rPr>
            <w:noProof/>
            <w:webHidden/>
          </w:rPr>
          <w:fldChar w:fldCharType="separate"/>
        </w:r>
        <w:r>
          <w:rPr>
            <w:noProof/>
            <w:webHidden/>
          </w:rPr>
          <w:t>23</w:t>
        </w:r>
        <w:r>
          <w:rPr>
            <w:noProof/>
            <w:webHidden/>
          </w:rPr>
          <w:fldChar w:fldCharType="end"/>
        </w:r>
      </w:hyperlink>
    </w:p>
    <w:p>
      <w:pPr>
        <w:pStyle w:val="TOC2"/>
        <w:rPr>
          <w:rFonts w:asciiTheme="minorHAnsi" w:eastAsiaTheme="minorEastAsia" w:hAnsiTheme="minorHAnsi" w:cstheme="minorBidi"/>
          <w:sz w:val="22"/>
          <w:szCs w:val="22"/>
        </w:rPr>
      </w:pPr>
      <w:hyperlink w:anchor="_Toc467271975"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_Toc467271975 \h </w:instrText>
        </w:r>
        <w:r>
          <w:rPr>
            <w:webHidden/>
          </w:rPr>
        </w:r>
        <w:r>
          <w:rPr>
            <w:webHidden/>
          </w:rPr>
          <w:fldChar w:fldCharType="separate"/>
        </w:r>
        <w:r>
          <w:rPr>
            <w:webHidden/>
          </w:rPr>
          <w:t>24</w:t>
        </w:r>
        <w:r>
          <w:rPr>
            <w:webHidden/>
          </w:rPr>
          <w:fldChar w:fldCharType="end"/>
        </w:r>
      </w:hyperlink>
    </w:p>
    <w:p>
      <w:pPr>
        <w:pStyle w:val="TOC2"/>
        <w:rPr>
          <w:rFonts w:asciiTheme="minorHAnsi" w:eastAsiaTheme="minorEastAsia" w:hAnsiTheme="minorHAnsi" w:cstheme="minorBidi"/>
          <w:sz w:val="22"/>
          <w:szCs w:val="22"/>
        </w:rPr>
      </w:pPr>
      <w:hyperlink w:anchor="_Toc467271976"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_Toc467271976 \h </w:instrText>
        </w:r>
        <w:r>
          <w:rPr>
            <w:webHidden/>
          </w:rPr>
        </w:r>
        <w:r>
          <w:rPr>
            <w:webHidden/>
          </w:rPr>
          <w:fldChar w:fldCharType="separate"/>
        </w:r>
        <w:r>
          <w:rPr>
            <w:webHidden/>
          </w:rPr>
          <w:t>25</w:t>
        </w:r>
        <w:r>
          <w:rPr>
            <w:webHidden/>
          </w:rPr>
          <w:fldChar w:fldCharType="end"/>
        </w:r>
      </w:hyperlink>
    </w:p>
    <w:p>
      <w:pPr>
        <w:pStyle w:val="TOC1"/>
        <w:rPr>
          <w:rFonts w:asciiTheme="minorHAnsi" w:eastAsiaTheme="minorEastAsia" w:hAnsiTheme="minorHAnsi" w:cstheme="minorBidi"/>
          <w:b w:val="0"/>
          <w:sz w:val="22"/>
          <w:szCs w:val="22"/>
        </w:rPr>
      </w:pPr>
      <w:hyperlink w:anchor="_Toc467271977" w:history="1">
        <w:r>
          <w:rPr>
            <w:rStyle w:val="Hyperlink"/>
          </w:rPr>
          <w:t>6.</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_Toc467271977 \h </w:instrText>
        </w:r>
        <w:r>
          <w:rPr>
            <w:webHidden/>
          </w:rPr>
        </w:r>
        <w:r>
          <w:rPr>
            <w:webHidden/>
          </w:rPr>
          <w:fldChar w:fldCharType="separate"/>
        </w:r>
        <w:r>
          <w:rPr>
            <w:webHidden/>
          </w:rPr>
          <w:t>26</w:t>
        </w:r>
        <w:r>
          <w:rPr>
            <w:webHidden/>
          </w:rPr>
          <w:fldChar w:fldCharType="end"/>
        </w:r>
      </w:hyperlink>
    </w:p>
    <w:p>
      <w:pPr>
        <w:pStyle w:val="TOC2"/>
        <w:rPr>
          <w:rFonts w:asciiTheme="minorHAnsi" w:eastAsiaTheme="minorEastAsia" w:hAnsiTheme="minorHAnsi" w:cstheme="minorBidi"/>
          <w:sz w:val="22"/>
          <w:szCs w:val="22"/>
        </w:rPr>
      </w:pPr>
      <w:hyperlink w:anchor="_Toc467271978"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_Toc467271978 \h </w:instrText>
        </w:r>
        <w:r>
          <w:rPr>
            <w:webHidden/>
          </w:rPr>
        </w:r>
        <w:r>
          <w:rPr>
            <w:webHidden/>
          </w:rPr>
          <w:fldChar w:fldCharType="separate"/>
        </w:r>
        <w:r>
          <w:rPr>
            <w:webHidden/>
          </w:rPr>
          <w:t>26</w:t>
        </w:r>
        <w:r>
          <w:rPr>
            <w:webHidden/>
          </w:rPr>
          <w:fldChar w:fldCharType="end"/>
        </w:r>
      </w:hyperlink>
    </w:p>
    <w:p>
      <w:pPr>
        <w:pStyle w:val="TOC2"/>
        <w:rPr>
          <w:rFonts w:asciiTheme="minorHAnsi" w:eastAsiaTheme="minorEastAsia" w:hAnsiTheme="minorHAnsi" w:cstheme="minorBidi"/>
          <w:sz w:val="22"/>
          <w:szCs w:val="22"/>
        </w:rPr>
      </w:pPr>
      <w:hyperlink w:anchor="_Toc467271979" w:history="1">
        <w:r>
          <w:rPr>
            <w:rStyle w:val="Hyperlink"/>
          </w:rPr>
          <w:t>6.2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_Toc467271979 \h </w:instrText>
        </w:r>
        <w:r>
          <w:rPr>
            <w:webHidden/>
          </w:rPr>
        </w:r>
        <w:r>
          <w:rPr>
            <w:webHidden/>
          </w:rPr>
          <w:fldChar w:fldCharType="separate"/>
        </w:r>
        <w:r>
          <w:rPr>
            <w:webHidden/>
          </w:rPr>
          <w:t>28</w:t>
        </w:r>
        <w:r>
          <w:rPr>
            <w:webHidden/>
          </w:rPr>
          <w:fldChar w:fldCharType="end"/>
        </w:r>
      </w:hyperlink>
    </w:p>
    <w:p>
      <w:pPr>
        <w:pStyle w:val="TOC1"/>
        <w:rPr>
          <w:rFonts w:asciiTheme="minorHAnsi" w:eastAsiaTheme="minorEastAsia" w:hAnsiTheme="minorHAnsi" w:cstheme="minorBidi"/>
          <w:b w:val="0"/>
          <w:sz w:val="22"/>
          <w:szCs w:val="22"/>
        </w:rPr>
      </w:pPr>
      <w:hyperlink w:anchor="_Toc467271980" w:history="1">
        <w:r>
          <w:rPr>
            <w:rStyle w:val="Hyperlink"/>
          </w:rPr>
          <w:t>7.</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_Toc467271980 \h </w:instrText>
        </w:r>
        <w:r>
          <w:rPr>
            <w:webHidden/>
          </w:rPr>
        </w:r>
        <w:r>
          <w:rPr>
            <w:webHidden/>
          </w:rPr>
          <w:fldChar w:fldCharType="separate"/>
        </w:r>
        <w:r>
          <w:rPr>
            <w:webHidden/>
          </w:rPr>
          <w:t>30</w:t>
        </w:r>
        <w:r>
          <w:rPr>
            <w:webHidden/>
          </w:rPr>
          <w:fldChar w:fldCharType="end"/>
        </w:r>
      </w:hyperlink>
    </w:p>
    <w:p>
      <w:pPr>
        <w:pStyle w:val="TOC2"/>
        <w:rPr>
          <w:rFonts w:asciiTheme="minorHAnsi" w:eastAsiaTheme="minorEastAsia" w:hAnsiTheme="minorHAnsi" w:cstheme="minorBidi"/>
          <w:sz w:val="22"/>
          <w:szCs w:val="22"/>
        </w:rPr>
      </w:pPr>
      <w:hyperlink w:anchor="_Toc46727198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_Toc467271981 \h </w:instrText>
        </w:r>
        <w:r>
          <w:rPr>
            <w:webHidden/>
          </w:rPr>
        </w:r>
        <w:r>
          <w:rPr>
            <w:webHidden/>
          </w:rPr>
          <w:fldChar w:fldCharType="separate"/>
        </w:r>
        <w:r>
          <w:rPr>
            <w:webHidden/>
          </w:rPr>
          <w:t>30</w:t>
        </w:r>
        <w:r>
          <w:rPr>
            <w:webHidden/>
          </w:rPr>
          <w:fldChar w:fldCharType="end"/>
        </w:r>
      </w:hyperlink>
    </w:p>
    <w:p>
      <w:pPr>
        <w:pStyle w:val="TOC1"/>
        <w:rPr>
          <w:rFonts w:asciiTheme="minorHAnsi" w:eastAsiaTheme="minorEastAsia" w:hAnsiTheme="minorHAnsi" w:cstheme="minorBidi"/>
          <w:b w:val="0"/>
          <w:sz w:val="22"/>
          <w:szCs w:val="22"/>
        </w:rPr>
      </w:pPr>
      <w:hyperlink w:anchor="_Toc467271982" w:history="1">
        <w:r>
          <w:rPr>
            <w:rStyle w:val="Hyperlink"/>
          </w:rPr>
          <w:t>8.</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_Toc467271982 \h </w:instrText>
        </w:r>
        <w:r>
          <w:rPr>
            <w:webHidden/>
          </w:rPr>
        </w:r>
        <w:r>
          <w:rPr>
            <w:webHidden/>
          </w:rPr>
          <w:fldChar w:fldCharType="separate"/>
        </w:r>
        <w:r>
          <w:rPr>
            <w:webHidden/>
          </w:rPr>
          <w:t>33</w:t>
        </w:r>
        <w:r>
          <w:rPr>
            <w:webHidden/>
          </w:rPr>
          <w:fldChar w:fldCharType="end"/>
        </w:r>
      </w:hyperlink>
    </w:p>
    <w:p>
      <w:pPr>
        <w:pStyle w:val="TOC2"/>
        <w:rPr>
          <w:rFonts w:asciiTheme="minorHAnsi" w:eastAsiaTheme="minorEastAsia" w:hAnsiTheme="minorHAnsi" w:cstheme="minorBidi"/>
          <w:sz w:val="22"/>
          <w:szCs w:val="22"/>
        </w:rPr>
      </w:pPr>
      <w:hyperlink w:anchor="_Toc467271983"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_Toc467271983 \h </w:instrText>
        </w:r>
        <w:r>
          <w:rPr>
            <w:webHidden/>
          </w:rPr>
        </w:r>
        <w:r>
          <w:rPr>
            <w:webHidden/>
          </w:rPr>
          <w:fldChar w:fldCharType="separate"/>
        </w:r>
        <w:r>
          <w:rPr>
            <w:webHidden/>
          </w:rPr>
          <w:t>33</w:t>
        </w:r>
        <w:r>
          <w:rPr>
            <w:webHidden/>
          </w:rPr>
          <w:fldChar w:fldCharType="end"/>
        </w:r>
      </w:hyperlink>
    </w:p>
    <w:p>
      <w:pPr>
        <w:pStyle w:val="TOC2"/>
        <w:rPr>
          <w:rFonts w:asciiTheme="minorHAnsi" w:eastAsiaTheme="minorEastAsia" w:hAnsiTheme="minorHAnsi" w:cstheme="minorBidi"/>
          <w:sz w:val="22"/>
          <w:szCs w:val="22"/>
        </w:rPr>
      </w:pPr>
      <w:hyperlink w:anchor="_Toc467271984" w:history="1">
        <w:r>
          <w:rPr>
            <w:rStyle w:val="Hyperlink"/>
          </w:rPr>
          <w:t>8.2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_Toc467271984 \h </w:instrText>
        </w:r>
        <w:r>
          <w:rPr>
            <w:webHidden/>
          </w:rPr>
        </w:r>
        <w:r>
          <w:rPr>
            <w:webHidden/>
          </w:rPr>
          <w:fldChar w:fldCharType="separate"/>
        </w:r>
        <w:r>
          <w:rPr>
            <w:webHidden/>
          </w:rPr>
          <w:t>35</w:t>
        </w:r>
        <w:r>
          <w:rPr>
            <w:webHidden/>
          </w:rPr>
          <w:fldChar w:fldCharType="end"/>
        </w:r>
      </w:hyperlink>
    </w:p>
    <w:p>
      <w:pPr>
        <w:pStyle w:val="TOC2"/>
        <w:rPr>
          <w:rFonts w:asciiTheme="minorHAnsi" w:eastAsiaTheme="minorEastAsia" w:hAnsiTheme="minorHAnsi" w:cstheme="minorBidi"/>
          <w:sz w:val="22"/>
          <w:szCs w:val="22"/>
        </w:rPr>
      </w:pPr>
      <w:hyperlink w:anchor="_Toc467271985" w:history="1">
        <w:r>
          <w:rPr>
            <w:rStyle w:val="Hyperlink"/>
          </w:rPr>
          <w:t>8.3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_Toc467271985 \h </w:instrText>
        </w:r>
        <w:r>
          <w:rPr>
            <w:webHidden/>
          </w:rPr>
        </w:r>
        <w:r>
          <w:rPr>
            <w:webHidden/>
          </w:rPr>
          <w:fldChar w:fldCharType="separate"/>
        </w:r>
        <w:r>
          <w:rPr>
            <w:webHidden/>
          </w:rPr>
          <w:t>35</w:t>
        </w:r>
        <w:r>
          <w:rPr>
            <w:webHidden/>
          </w:rPr>
          <w:fldChar w:fldCharType="end"/>
        </w:r>
      </w:hyperlink>
    </w:p>
    <w:p>
      <w:pPr>
        <w:pStyle w:val="TOC1"/>
        <w:rPr>
          <w:rFonts w:asciiTheme="minorHAnsi" w:eastAsiaTheme="minorEastAsia" w:hAnsiTheme="minorHAnsi" w:cstheme="minorBidi"/>
          <w:b w:val="0"/>
          <w:sz w:val="22"/>
          <w:szCs w:val="22"/>
        </w:rPr>
      </w:pPr>
      <w:hyperlink w:anchor="_Toc467271986" w:history="1">
        <w:r>
          <w:rPr>
            <w:rStyle w:val="Hyperlink"/>
          </w:rPr>
          <w:t>9.</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_Toc467271986 \h </w:instrText>
        </w:r>
        <w:r>
          <w:rPr>
            <w:webHidden/>
          </w:rPr>
        </w:r>
        <w:r>
          <w:rPr>
            <w:webHidden/>
          </w:rPr>
          <w:fldChar w:fldCharType="separate"/>
        </w:r>
        <w:r>
          <w:rPr>
            <w:webHidden/>
          </w:rPr>
          <w:t>38</w:t>
        </w:r>
        <w:r>
          <w:rPr>
            <w:webHidden/>
          </w:rPr>
          <w:fldChar w:fldCharType="end"/>
        </w:r>
      </w:hyperlink>
    </w:p>
    <w:p>
      <w:pPr>
        <w:pStyle w:val="TOC2"/>
        <w:rPr>
          <w:rFonts w:asciiTheme="minorHAnsi" w:eastAsiaTheme="minorEastAsia" w:hAnsiTheme="minorHAnsi" w:cstheme="minorBidi"/>
          <w:sz w:val="22"/>
          <w:szCs w:val="22"/>
        </w:rPr>
      </w:pPr>
      <w:hyperlink w:anchor="_Toc467271987" w:history="1">
        <w:r>
          <w:rPr>
            <w:rStyle w:val="Hyperlink"/>
          </w:rPr>
          <w:t>9.1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_Toc467271987 \h </w:instrText>
        </w:r>
        <w:r>
          <w:rPr>
            <w:webHidden/>
          </w:rPr>
        </w:r>
        <w:r>
          <w:rPr>
            <w:webHidden/>
          </w:rPr>
          <w:fldChar w:fldCharType="separate"/>
        </w:r>
        <w:r>
          <w:rPr>
            <w:webHidden/>
          </w:rPr>
          <w:t>38</w:t>
        </w:r>
        <w:r>
          <w:rPr>
            <w:webHidden/>
          </w:rPr>
          <w:fldChar w:fldCharType="end"/>
        </w:r>
      </w:hyperlink>
    </w:p>
    <w:p>
      <w:pPr>
        <w:pStyle w:val="TOC1"/>
        <w:rPr>
          <w:rFonts w:asciiTheme="minorHAnsi" w:eastAsiaTheme="minorEastAsia" w:hAnsiTheme="minorHAnsi" w:cstheme="minorBidi"/>
          <w:b w:val="0"/>
          <w:sz w:val="22"/>
          <w:szCs w:val="22"/>
        </w:rPr>
      </w:pPr>
      <w:hyperlink w:anchor="_Toc467271988" w:history="1">
        <w:r>
          <w:rPr>
            <w:rStyle w:val="Hyperlink"/>
          </w:rPr>
          <w:t>10.</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_Toc467271988 \h </w:instrText>
        </w:r>
        <w:r>
          <w:rPr>
            <w:webHidden/>
          </w:rPr>
        </w:r>
        <w:r>
          <w:rPr>
            <w:webHidden/>
          </w:rPr>
          <w:fldChar w:fldCharType="separate"/>
        </w:r>
        <w:r>
          <w:rPr>
            <w:webHidden/>
          </w:rPr>
          <w:t>41</w:t>
        </w:r>
        <w:r>
          <w:rPr>
            <w:webHidden/>
          </w:rPr>
          <w:fldChar w:fldCharType="end"/>
        </w:r>
      </w:hyperlink>
    </w:p>
    <w:p>
      <w:pPr>
        <w:pStyle w:val="TOC1"/>
        <w:rPr>
          <w:rFonts w:asciiTheme="minorHAnsi" w:eastAsiaTheme="minorEastAsia" w:hAnsiTheme="minorHAnsi" w:cstheme="minorBidi"/>
          <w:b w:val="0"/>
          <w:sz w:val="22"/>
          <w:szCs w:val="22"/>
        </w:rPr>
      </w:pPr>
      <w:hyperlink w:anchor="_Toc467271989" w:history="1">
        <w:r>
          <w:rPr>
            <w:rStyle w:val="Hyperlink"/>
          </w:rPr>
          <w:t>11.</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_Toc467271989 \h </w:instrText>
        </w:r>
        <w:r>
          <w:rPr>
            <w:webHidden/>
          </w:rPr>
        </w:r>
        <w:r>
          <w:rPr>
            <w:webHidden/>
          </w:rPr>
          <w:fldChar w:fldCharType="separate"/>
        </w:r>
        <w:r>
          <w:rPr>
            <w:webHidden/>
          </w:rPr>
          <w:t>42</w:t>
        </w:r>
        <w:r>
          <w:rPr>
            <w:webHidden/>
          </w:rPr>
          <w:fldChar w:fldCharType="end"/>
        </w:r>
      </w:hyperlink>
    </w:p>
    <w:p>
      <w:pPr>
        <w:pStyle w:val="TOC1"/>
        <w:rPr>
          <w:rFonts w:asciiTheme="minorHAnsi" w:eastAsiaTheme="minorEastAsia" w:hAnsiTheme="minorHAnsi" w:cstheme="minorBidi"/>
          <w:b w:val="0"/>
          <w:sz w:val="22"/>
          <w:szCs w:val="22"/>
        </w:rPr>
      </w:pPr>
      <w:hyperlink w:anchor="_Toc467271990" w:history="1">
        <w:r>
          <w:rPr>
            <w:rStyle w:val="Hyperlink"/>
          </w:rPr>
          <w:t>Acronyms</w:t>
        </w:r>
        <w:r>
          <w:rPr>
            <w:webHidden/>
          </w:rPr>
          <w:tab/>
        </w:r>
        <w:r>
          <w:rPr>
            <w:webHidden/>
          </w:rPr>
          <w:fldChar w:fldCharType="begin"/>
        </w:r>
        <w:r>
          <w:rPr>
            <w:webHidden/>
          </w:rPr>
          <w:instrText xml:space="preserve"> PAGEREF _Toc467271990 \h </w:instrText>
        </w:r>
        <w:r>
          <w:rPr>
            <w:webHidden/>
          </w:rPr>
        </w:r>
        <w:r>
          <w:rPr>
            <w:webHidden/>
          </w:rPr>
          <w:fldChar w:fldCharType="separate"/>
        </w:r>
        <w:r>
          <w:rPr>
            <w:webHidden/>
          </w:rPr>
          <w:t>44</w:t>
        </w:r>
        <w:r>
          <w:rPr>
            <w:webHidden/>
          </w:rPr>
          <w:fldChar w:fldCharType="end"/>
        </w:r>
      </w:hyperlink>
    </w:p>
    <w:p>
      <w:pPr>
        <w:rPr>
          <w:noProof/>
        </w:rPr>
      </w:pPr>
      <w:r>
        <w:rPr>
          <w:noProof/>
        </w:rPr>
        <w:fldChar w:fldCharType="end"/>
      </w:r>
    </w:p>
    <w:p>
      <w:pPr>
        <w:rPr>
          <w:noProof/>
        </w:rPr>
      </w:pPr>
    </w:p>
    <w:p>
      <w:pPr>
        <w:sectPr>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pPr>
        <w:pStyle w:val="FrontMatterHeader"/>
        <w:spacing w:after="120"/>
      </w:pPr>
      <w:bookmarkStart w:id="1" w:name="_Toc497634056"/>
      <w:bookmarkStart w:id="2" w:name="_Toc498235584"/>
      <w:bookmarkStart w:id="3" w:name="_Toc498325024"/>
      <w:bookmarkStart w:id="4" w:name="_Toc499106663"/>
      <w:r>
        <w:lastRenderedPageBreak/>
        <w:t>List of Figures</w:t>
      </w:r>
    </w:p>
    <w:p>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pPr>
        <w:sectPr>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pPr>
        <w:pStyle w:val="Heading1"/>
      </w:pPr>
      <w:bookmarkStart w:id="5" w:name="_Toc510936693"/>
      <w:bookmarkStart w:id="6" w:name="_Toc510936873"/>
      <w:bookmarkStart w:id="7" w:name="_Toc510948564"/>
      <w:bookmarkStart w:id="8" w:name="_Toc467271944"/>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pPr>
        <w:pStyle w:val="Heading2"/>
        <w:spacing w:before="0" w:after="120"/>
      </w:pPr>
      <w:bookmarkStart w:id="14" w:name="_Toc467271945"/>
      <w:r>
        <w:t>Background</w:t>
      </w:r>
      <w:bookmarkEnd w:id="14"/>
    </w:p>
    <w:p>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
        <w:t>Finally, the Bonnie software is freely available via an Apache 2.0 open source license. The Meaningful Use program makes all or parts of the Bonnie software available for inspection, verification, and even reuse by other government programs or federal contractors.</w:t>
      </w:r>
    </w:p>
    <w:p>
      <w:pPr>
        <w:pStyle w:val="Heading2"/>
      </w:pPr>
      <w:bookmarkStart w:id="16" w:name="_Toc467271946"/>
      <w:r>
        <w:t>Purpose</w:t>
      </w:r>
      <w:bookmarkEnd w:id="16"/>
    </w:p>
    <w:p>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pPr>
        <w:pStyle w:val="Heading2"/>
      </w:pPr>
      <w:bookmarkStart w:id="17" w:name="_Toc467271947"/>
      <w:bookmarkStart w:id="18" w:name="_Toc498235588"/>
      <w:bookmarkEnd w:id="15"/>
      <w:r>
        <w:t>Application Description</w:t>
      </w:r>
      <w:bookmarkEnd w:id="17"/>
    </w:p>
    <w:p>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pPr>
        <w:sectPr>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pPr>
        <w:pStyle w:val="Heading1"/>
      </w:pPr>
      <w:bookmarkStart w:id="19" w:name="_Toc467271948"/>
      <w:r>
        <w:lastRenderedPageBreak/>
        <w:t>User Account Creation</w:t>
      </w:r>
      <w:bookmarkEnd w:id="19"/>
    </w:p>
    <w:p>
      <w:pPr>
        <w:pStyle w:val="Heading2"/>
      </w:pPr>
      <w:bookmarkStart w:id="20" w:name="_Toc467271949"/>
      <w:r>
        <w:t>Login Page</w:t>
      </w:r>
      <w:bookmarkEnd w:id="20"/>
    </w:p>
    <w:p>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t xml:space="preserve">Figure </w:t>
        </w:r>
        <w:r>
          <w:rPr>
            <w:noProof/>
          </w:rPr>
          <w:t>1</w:t>
        </w:r>
      </w:fldSimple>
      <w:r>
        <w:t xml:space="preserve"> shows the login screen for the Bonnie application. To log in, a user must provide the email address and password for a valid account.</w:t>
      </w:r>
    </w:p>
    <w:p>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pPr>
        <w:pStyle w:val="FigureCaption"/>
      </w:pPr>
      <w:bookmarkStart w:id="21" w:name="_Ref459207064"/>
      <w:bookmarkStart w:id="22" w:name="_Toc467271991"/>
      <w:r>
        <w:t xml:space="preserve">Figure </w:t>
      </w:r>
      <w:fldSimple w:instr=" SEQ Figure \* ARABIC ">
        <w: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7271950"/>
      <w:bookmarkEnd w:id="26"/>
      <w:bookmarkEnd w:id="27"/>
      <w:bookmarkEnd w:id="28"/>
      <w:bookmarkEnd w:id="29"/>
      <w:bookmarkEnd w:id="30"/>
      <w:bookmarkEnd w:id="31"/>
      <w:bookmarkEnd w:id="32"/>
      <w:bookmarkEnd w:id="33"/>
      <w:bookmarkEnd w:id="34"/>
      <w:bookmarkEnd w:id="35"/>
      <w:bookmarkEnd w:id="36"/>
      <w:r>
        <w:t>Creating a New User</w:t>
      </w:r>
      <w:bookmarkEnd w:id="37"/>
    </w:p>
    <w:p>
      <w:r>
        <w:t xml:space="preserve">A user can create a new account by clicking the “register” link on the login page. The register link brings the user to account creation page shown in </w:t>
      </w:r>
      <w:fldSimple w:instr=" REF _Ref459271439  \* MERGEFORMAT ">
        <w:r>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pPr>
        <w:pStyle w:val="FigureCaption"/>
      </w:pPr>
      <w:bookmarkStart w:id="38" w:name="_Ref459271439"/>
      <w:bookmarkStart w:id="39" w:name="_Toc467271992"/>
      <w:r>
        <w:t xml:space="preserve">Figure </w:t>
      </w:r>
      <w:fldSimple w:instr=" SEQ Figure \* ARABIC ">
        <w:r>
          <w:rPr>
            <w:noProof/>
          </w:rPr>
          <w:t>2</w:t>
        </w:r>
      </w:fldSimple>
      <w:bookmarkEnd w:id="38"/>
      <w:r>
        <w:rPr>
          <w:bCs/>
        </w:rPr>
        <w:t>.</w:t>
      </w:r>
      <w:r>
        <w:t xml:space="preserve"> Account Registration Page</w:t>
      </w:r>
      <w:bookmarkEnd w:id="39"/>
    </w:p>
    <w:p>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727195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pPr>
        <w:pStyle w:val="FigureCaption"/>
      </w:pPr>
      <w:bookmarkStart w:id="63" w:name="_Toc467271993"/>
      <w:r>
        <w:t xml:space="preserve">Figure </w:t>
      </w:r>
      <w:fldSimple w:instr=" SEQ Figure \* ARABIC ">
        <w:r>
          <w:t>3</w:t>
        </w:r>
      </w:fldSimple>
      <w:r>
        <w:t xml:space="preserve">. </w:t>
      </w:r>
      <w:bookmarkStart w:id="64" w:name="_Toc439154842"/>
      <w:r>
        <w:t>Password Reset Page</w:t>
      </w:r>
      <w:bookmarkEnd w:id="63"/>
      <w:bookmarkEnd w:id="64"/>
    </w:p>
    <w:p>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7271952"/>
      <w:bookmarkEnd w:id="65"/>
      <w:bookmarkEnd w:id="66"/>
      <w:bookmarkEnd w:id="67"/>
      <w:bookmarkEnd w:id="68"/>
      <w:bookmarkEnd w:id="69"/>
      <w:bookmarkEnd w:id="70"/>
      <w:bookmarkEnd w:id="71"/>
      <w:bookmarkEnd w:id="72"/>
      <w:bookmarkEnd w:id="73"/>
      <w:bookmarkEnd w:id="74"/>
      <w:bookmarkEnd w:id="75"/>
      <w:r>
        <w:lastRenderedPageBreak/>
        <w:t>Account Mana</w:t>
      </w:r>
      <w:bookmarkStart w:id="77" w:name="_GoBack"/>
      <w:bookmarkEnd w:id="77"/>
      <w:r>
        <w:t>gement</w:t>
      </w:r>
      <w:bookmarkEnd w:id="76"/>
    </w:p>
    <w:p>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pPr>
        <w:pStyle w:val="FigureCaption"/>
      </w:pPr>
      <w:bookmarkStart w:id="78" w:name="_Toc467271994"/>
      <w:r>
        <w:t xml:space="preserve">Figure </w:t>
      </w:r>
      <w:fldSimple w:instr=" SEQ Figure \* ARABIC ">
        <w:r>
          <w:rPr>
            <w:noProof/>
          </w:rPr>
          <w:t>4</w:t>
        </w:r>
      </w:fldSimple>
      <w:r>
        <w:rPr>
          <w:noProof/>
        </w:rPr>
        <w:t>.</w:t>
      </w:r>
      <w:r>
        <w:t xml:space="preserve"> Account Management Page</w:t>
      </w:r>
      <w:bookmarkEnd w:id="78"/>
    </w:p>
    <w:p/>
    <w:p>
      <w:pPr>
        <w:sectPr>
          <w:headerReference w:type="first" r:id="rId30"/>
          <w:footerReference w:type="first" r:id="rId31"/>
          <w:pgSz w:w="12240" w:h="15840" w:code="1"/>
          <w:pgMar w:top="1440" w:right="1440" w:bottom="1440" w:left="1440" w:header="504" w:footer="504" w:gutter="0"/>
          <w:cols w:space="720"/>
          <w:titlePg/>
          <w:docGrid w:linePitch="360"/>
        </w:sectPr>
      </w:pPr>
    </w:p>
    <w:p>
      <w:pPr>
        <w:pStyle w:val="Heading1"/>
      </w:pPr>
      <w:bookmarkStart w:id="79" w:name="_Toc467271953"/>
      <w:r>
        <w:lastRenderedPageBreak/>
        <w:t>Measure Dashboard</w:t>
      </w:r>
      <w:bookmarkEnd w:id="79"/>
    </w:p>
    <w:p>
      <w:pPr>
        <w:pStyle w:val="Heading2"/>
      </w:pPr>
      <w:bookmarkStart w:id="80" w:name="_Toc467271954"/>
      <w:r>
        <w:t>Overview</w:t>
      </w:r>
      <w:bookmarkEnd w:id="80"/>
    </w:p>
    <w:p>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pPr>
        <w:pStyle w:val="FigureCaption"/>
      </w:pPr>
      <w:bookmarkStart w:id="81" w:name="_Ref467148223"/>
      <w:bookmarkStart w:id="82" w:name="_Toc467271995"/>
      <w:r>
        <w:t xml:space="preserve">Figure </w:t>
      </w:r>
      <w:fldSimple w:instr=" SEQ Figure \* ARABIC ">
        <w:r>
          <w:t>5</w:t>
        </w:r>
      </w:fldSimple>
      <w:bookmarkEnd w:id="81"/>
      <w:r>
        <w:t>. Measure Dashboard View</w:t>
      </w:r>
      <w:bookmarkEnd w:id="82"/>
    </w:p>
    <w:p>
      <w:r>
        <w:t xml:space="preserve">The Measure Dashboard View employs the following user interface (UI) elements (indicated by their item numbers in </w:t>
      </w:r>
      <w:fldSimple w:instr=" REF _Ref440185712 ">
        <w:r>
          <w:t xml:space="preserve">Figure </w:t>
        </w:r>
        <w:r>
          <w:rPr>
            <w:noProof/>
          </w:rPr>
          <w:t>5</w:t>
        </w:r>
      </w:fldSimple>
      <w:r>
        <w:t>):</w:t>
      </w:r>
    </w:p>
    <w:p>
      <w:pPr>
        <w:pStyle w:val="NumberedList"/>
        <w:numPr>
          <w:ilvl w:val="0"/>
          <w:numId w:val="39"/>
        </w:numPr>
      </w:pPr>
      <w:r>
        <w:t>Header – Allows the user to navigate to different parts of the application, access account information, send a support email (Contact), and log out of the application.</w:t>
      </w:r>
    </w:p>
    <w:p>
      <w:pPr>
        <w:pStyle w:val="NumberedList"/>
        <w:numPr>
          <w:ilvl w:val="0"/>
          <w:numId w:val="39"/>
        </w:numPr>
      </w:pPr>
      <w:r>
        <w:t>Measure Period Date – Displays the measurement period used for calculating measures.</w:t>
      </w:r>
    </w:p>
    <w:p>
      <w:pPr>
        <w:pStyle w:val="NumberedList"/>
        <w:numPr>
          <w:ilvl w:val="0"/>
          <w:numId w:val="39"/>
        </w:numPr>
      </w:pPr>
      <w:r>
        <w:t>Measures Download Button – Allows the user to download a bundle containing all of their measures.</w:t>
      </w:r>
    </w:p>
    <w:p>
      <w:pPr>
        <w:pStyle w:val="NumberedList"/>
        <w:numPr>
          <w:ilvl w:val="0"/>
          <w:numId w:val="39"/>
        </w:numPr>
      </w:pPr>
      <w:r>
        <w:t>Upload Button – Allows the user to upload a new measure.</w:t>
      </w:r>
    </w:p>
    <w:p>
      <w:pPr>
        <w:pStyle w:val="NumberedList"/>
        <w:numPr>
          <w:ilvl w:val="0"/>
          <w:numId w:val="39"/>
        </w:numPr>
      </w:pPr>
      <w:r>
        <w:t>Expected Column – Displays the percentage of passing patients for the measure.</w:t>
      </w:r>
    </w:p>
    <w:p>
      <w:pPr>
        <w:pStyle w:val="NumberedList"/>
        <w:numPr>
          <w:ilvl w:val="0"/>
          <w:numId w:val="39"/>
        </w:numPr>
      </w:pPr>
      <w:r>
        <w:t>Status Column – Displays the current status of the measure (New, Pass, Fail)</w:t>
      </w:r>
    </w:p>
    <w:p>
      <w:pPr>
        <w:pStyle w:val="NumberedList"/>
        <w:numPr>
          <w:ilvl w:val="0"/>
          <w:numId w:val="39"/>
        </w:numPr>
      </w:pPr>
      <w:r>
        <w:t>Test Patient Column – Displays the number of patients passing out of the total number of patients.</w:t>
      </w:r>
    </w:p>
    <w:p>
      <w:pPr>
        <w:pStyle w:val="NumberedList"/>
        <w:numPr>
          <w:ilvl w:val="0"/>
          <w:numId w:val="39"/>
        </w:numPr>
      </w:pPr>
      <w:r>
        <w:t>Measure Title – Displays the title for the measure and allows navigation to the measure view.</w:t>
      </w:r>
    </w:p>
    <w:p>
      <w:pPr>
        <w:pStyle w:val="NumberedList"/>
        <w:numPr>
          <w:ilvl w:val="0"/>
          <w:numId w:val="39"/>
        </w:numPr>
      </w:pPr>
      <w:r>
        <w:lastRenderedPageBreak/>
        <w:t>Subpopulation and stratification titles – Displays the titles for subpopulations or stratifications of a measure.</w:t>
      </w:r>
    </w:p>
    <w:p>
      <w:pPr>
        <w:pStyle w:val="NumberedList"/>
        <w:numPr>
          <w:ilvl w:val="0"/>
          <w:numId w:val="39"/>
        </w:numPr>
      </w:pPr>
      <w:r>
        <w:t>Edit Title Button – Allows the user to rename a subpopulation or stratification.</w:t>
      </w:r>
    </w:p>
    <w:p>
      <w:pPr>
        <w:pStyle w:val="NumberedList"/>
        <w:numPr>
          <w:ilvl w:val="0"/>
          <w:numId w:val="39"/>
        </w:numPr>
      </w:pPr>
      <w:r>
        <w:t>Update Button – Allows the user to update a previously loaded measure.</w:t>
      </w:r>
    </w:p>
    <w:p>
      <w:pPr>
        <w:pStyle w:val="NumberedList"/>
        <w:numPr>
          <w:ilvl w:val="0"/>
          <w:numId w:val="39"/>
        </w:numPr>
      </w:pPr>
      <w:r>
        <w:t>Add Patient Button – Allows the user to start building a new patient for a measure.</w:t>
      </w:r>
    </w:p>
    <w:p>
      <w:pPr>
        <w:pStyle w:val="Heading2"/>
      </w:pPr>
      <w:bookmarkStart w:id="83" w:name="_Toc439155302"/>
      <w:bookmarkStart w:id="84" w:name="_Toc439155664"/>
      <w:bookmarkStart w:id="85" w:name="_Toc439155744"/>
      <w:bookmarkStart w:id="86" w:name="_Toc439156653"/>
      <w:bookmarkStart w:id="87" w:name="_Toc439157819"/>
      <w:bookmarkStart w:id="88" w:name="_Toc439158063"/>
      <w:bookmarkStart w:id="89" w:name="_Toc439158245"/>
      <w:bookmarkStart w:id="90" w:name="_Toc439922484"/>
      <w:bookmarkStart w:id="91" w:name="_Toc439923954"/>
      <w:bookmarkStart w:id="92" w:name="_Toc439924023"/>
      <w:bookmarkStart w:id="93" w:name="_Toc467271955"/>
      <w:bookmarkEnd w:id="83"/>
      <w:bookmarkEnd w:id="84"/>
      <w:bookmarkEnd w:id="85"/>
      <w:bookmarkEnd w:id="86"/>
      <w:bookmarkEnd w:id="87"/>
      <w:bookmarkEnd w:id="88"/>
      <w:bookmarkEnd w:id="89"/>
      <w:bookmarkEnd w:id="90"/>
      <w:bookmarkEnd w:id="91"/>
      <w:bookmarkEnd w:id="92"/>
      <w:r>
        <w:t>Loading a New Measure</w:t>
      </w:r>
      <w:bookmarkEnd w:id="93"/>
    </w:p>
    <w:p>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
        <w:t>The steps for loading a new measure as an entire MAT package are as follows:</w:t>
      </w:r>
    </w:p>
    <w:p>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Figure 5</w:t>
      </w:r>
      <w:r>
        <w:rPr>
          <w:rStyle w:val="numberreference"/>
          <w:rFonts w:ascii="Times New Roman" w:hAnsi="Times New Roman"/>
          <w:b w:val="0"/>
          <w:color w:val="auto"/>
        </w:rPr>
        <w:fldChar w:fldCharType="end"/>
      </w:r>
      <w:r>
        <w:t>) on the Measure Dashboard, which opens the New Measure Dialog shown in Figure 6.</w:t>
      </w:r>
    </w:p>
    <w:p>
      <w:pPr>
        <w:pStyle w:val="NumberedList"/>
        <w:numPr>
          <w:ilvl w:val="0"/>
          <w:numId w:val="32"/>
        </w:numPr>
      </w:pPr>
      <w:r>
        <w:t>On the New Measure Dialog:</w:t>
      </w:r>
    </w:p>
    <w:p>
      <w:pPr>
        <w:pStyle w:val="NumberedList2bulleted"/>
        <w:spacing w:before="0" w:after="120"/>
        <w:rPr>
          <w:rFonts w:cs="Times New Roman"/>
        </w:rPr>
      </w:pPr>
      <w:r>
        <w:rPr>
          <w:rFonts w:cs="Times New Roman"/>
        </w:rPr>
        <w:t>Choose a MAT export zip file.</w:t>
      </w:r>
    </w:p>
    <w:p>
      <w:pPr>
        <w:pStyle w:val="NumberedList2bulleted"/>
        <w:spacing w:before="0" w:after="120"/>
        <w:rPr>
          <w:rFonts w:cs="Times New Roman"/>
        </w:rPr>
      </w:pPr>
      <w:r>
        <w:rPr>
          <w:rFonts w:cs="Times New Roman"/>
        </w:rPr>
        <w:t>Specify if the measure is eligible professional (EP) or eligible hospital (EH).</w:t>
      </w:r>
    </w:p>
    <w:p>
      <w:pPr>
        <w:pStyle w:val="NumberedList2bulleted"/>
        <w:spacing w:before="0" w:after="120"/>
        <w:rPr>
          <w:rFonts w:cs="Times New Roman"/>
        </w:rPr>
      </w:pPr>
      <w:r>
        <w:rPr>
          <w:rFonts w:cs="Times New Roman"/>
        </w:rPr>
        <w:t>Specify if the measure is Patient-based or Episode of Care.</w:t>
      </w:r>
    </w:p>
    <w:p>
      <w:pPr>
        <w:pStyle w:val="NumberedList2bulleted"/>
        <w:spacing w:before="0" w:after="120"/>
        <w:rPr>
          <w:rFonts w:cs="Times New Roman"/>
        </w:rPr>
      </w:pPr>
      <w:r>
        <w:rPr>
          <w:rFonts w:cs="Times New Roman"/>
        </w:rPr>
        <w:t>Click the “Load” button.</w:t>
      </w:r>
    </w:p>
    <w:p>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spacing w:before="0" w:after="120"/>
      </w:pPr>
      <w:bookmarkStart w:id="94" w:name="_Toc467271996"/>
      <w:r>
        <w:t xml:space="preserve">Figure </w:t>
      </w:r>
      <w:fldSimple w:instr=" SEQ Figure \* ARABIC ">
        <w:r>
          <w:rPr>
            <w:noProof/>
          </w:rPr>
          <w:t>6</w:t>
        </w:r>
      </w:fldSimple>
      <w:r>
        <w:rPr>
          <w:noProof/>
        </w:rPr>
        <w:t>.</w:t>
      </w:r>
      <w:r>
        <w:t xml:space="preserve"> New Measure Dialog – MAT Package</w:t>
      </w:r>
      <w:bookmarkEnd w:id="94"/>
    </w:p>
    <w:p>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Figure 5</w:t>
      </w:r>
      <w:r>
        <w:rPr>
          <w:rStyle w:val="numberreference"/>
          <w:rFonts w:ascii="Times New Roman" w:hAnsi="Times New Roman"/>
          <w:b w:val="0"/>
          <w:color w:val="auto"/>
        </w:rPr>
        <w:fldChar w:fldCharType="end"/>
      </w:r>
      <w:r>
        <w:t>) on the Measure Dashboard, which opens the New Measure Dialog shown in Figure 7.</w:t>
      </w:r>
    </w:p>
    <w:p>
      <w:pPr>
        <w:pStyle w:val="NumberedList"/>
        <w:numPr>
          <w:ilvl w:val="0"/>
          <w:numId w:val="50"/>
        </w:numPr>
      </w:pPr>
      <w:r>
        <w:t>On the New Measure Dialog:</w:t>
      </w:r>
    </w:p>
    <w:p>
      <w:pPr>
        <w:pStyle w:val="NumberedList"/>
        <w:numPr>
          <w:ilvl w:val="1"/>
          <w:numId w:val="50"/>
        </w:numPr>
        <w:ind w:left="1080"/>
      </w:pPr>
      <w:r>
        <w:t>Choose a measure XML file from a MAT package.</w:t>
      </w:r>
    </w:p>
    <w:p>
      <w:pPr>
        <w:pStyle w:val="NumberedList"/>
        <w:numPr>
          <w:ilvl w:val="0"/>
          <w:numId w:val="0"/>
        </w:numPr>
        <w:ind w:left="1620" w:hanging="450"/>
      </w:pPr>
      <w:r>
        <w:t>(1)</w:t>
      </w:r>
      <w:r>
        <w:tab/>
        <w:t>The New Measure dialog will show VSAC Username and VSAC Password fields.</w:t>
      </w:r>
    </w:p>
    <w:p>
      <w:pPr>
        <w:pStyle w:val="NumberedList"/>
        <w:numPr>
          <w:ilvl w:val="1"/>
          <w:numId w:val="50"/>
        </w:numPr>
        <w:ind w:left="1080"/>
      </w:pPr>
      <w:r>
        <w:t>Enter your VSAC credentials.</w:t>
      </w:r>
    </w:p>
    <w:p>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pPr>
        <w:pStyle w:val="NumberedList"/>
        <w:numPr>
          <w:ilvl w:val="1"/>
          <w:numId w:val="50"/>
        </w:numPr>
        <w:ind w:left="1080"/>
      </w:pPr>
      <w:r>
        <w:t>Specify if the measure is eligible professional (EP) or eligible hospital (EH).</w:t>
      </w:r>
    </w:p>
    <w:p>
      <w:pPr>
        <w:pStyle w:val="NumberedList"/>
        <w:numPr>
          <w:ilvl w:val="1"/>
          <w:numId w:val="50"/>
        </w:numPr>
        <w:ind w:left="1080"/>
      </w:pPr>
      <w:r>
        <w:t>Specify if the measure is Patient-based or Episode of Care.</w:t>
      </w:r>
    </w:p>
    <w:p>
      <w:pPr>
        <w:pStyle w:val="NumberedList"/>
        <w:numPr>
          <w:ilvl w:val="1"/>
          <w:numId w:val="50"/>
        </w:numPr>
        <w:ind w:left="1080"/>
      </w:pPr>
      <w:r>
        <w:t>Click the “Load” button.</w:t>
      </w:r>
    </w:p>
    <w:p>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pPr>
        <w:pStyle w:val="FigureCaption"/>
      </w:pPr>
      <w:bookmarkStart w:id="95" w:name="_Toc467271997"/>
      <w:r>
        <w:t xml:space="preserve">Figure </w:t>
      </w:r>
      <w:fldSimple w:instr=" SEQ Figure \* ARABIC ">
        <w:r>
          <w:t>7</w:t>
        </w:r>
      </w:fldSimple>
      <w:r>
        <w:t>. New Measure Dialog – XML File</w:t>
      </w:r>
      <w:bookmarkEnd w:id="95"/>
    </w:p>
    <w:p>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t xml:space="preserve">Figure </w:t>
        </w:r>
        <w:r>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pPr>
        <w:pStyle w:val="FigureCaption"/>
      </w:pPr>
      <w:bookmarkStart w:id="96" w:name="_Ref459099953"/>
      <w:bookmarkStart w:id="97" w:name="_Toc467271998"/>
      <w:r>
        <w:t xml:space="preserve">Figure </w:t>
      </w:r>
      <w:fldSimple w:instr=" SEQ Figure \* ARABIC ">
        <w:r>
          <w:t>8</w:t>
        </w:r>
      </w:fldSimple>
      <w:bookmarkEnd w:id="96"/>
      <w:r>
        <w:t xml:space="preserve">. </w:t>
      </w:r>
      <w:bookmarkStart w:id="98" w:name="_Toc439154844"/>
      <w:r>
        <w:t>Finalize Measure Dialog</w:t>
      </w:r>
      <w:bookmarkEnd w:id="97"/>
      <w:bookmarkEnd w:id="98"/>
    </w:p>
    <w:p>
      <w:pPr>
        <w:pStyle w:val="Heading2"/>
      </w:pPr>
      <w:bookmarkStart w:id="99" w:name="_Toc439155304"/>
      <w:bookmarkStart w:id="100" w:name="_Toc439155666"/>
      <w:bookmarkStart w:id="101" w:name="_Toc439155746"/>
      <w:bookmarkStart w:id="102" w:name="_Toc439156655"/>
      <w:bookmarkStart w:id="103" w:name="_Toc439157821"/>
      <w:bookmarkStart w:id="104" w:name="_Toc439158065"/>
      <w:bookmarkStart w:id="105" w:name="_Toc439158247"/>
      <w:bookmarkStart w:id="106" w:name="_Toc439922486"/>
      <w:bookmarkStart w:id="107" w:name="_Toc439923956"/>
      <w:bookmarkStart w:id="108" w:name="_Toc439924025"/>
      <w:bookmarkStart w:id="109" w:name="_Toc467271956"/>
      <w:bookmarkEnd w:id="99"/>
      <w:bookmarkEnd w:id="100"/>
      <w:bookmarkEnd w:id="101"/>
      <w:bookmarkEnd w:id="102"/>
      <w:bookmarkEnd w:id="103"/>
      <w:bookmarkEnd w:id="104"/>
      <w:bookmarkEnd w:id="105"/>
      <w:bookmarkEnd w:id="106"/>
      <w:bookmarkEnd w:id="107"/>
      <w:bookmarkEnd w:id="108"/>
      <w:r>
        <w:lastRenderedPageBreak/>
        <w:t>Updating a Measure</w:t>
      </w:r>
      <w:bookmarkEnd w:id="109"/>
    </w:p>
    <w:p>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t xml:space="preserve">Figure </w:t>
        </w:r>
        <w:r>
          <w:rPr>
            <w:noProof/>
          </w:rPr>
          <w:t>9</w:t>
        </w:r>
      </w:fldSimple>
      <w:r>
        <w:t>.</w:t>
      </w:r>
    </w:p>
    <w:p>
      <w:pPr>
        <w:pStyle w:val="NumberedList"/>
        <w:numPr>
          <w:ilvl w:val="0"/>
          <w:numId w:val="32"/>
        </w:numPr>
      </w:pPr>
      <w:r>
        <w:t>Select a new MAT export zip with the updated measure definition.</w:t>
      </w:r>
    </w:p>
    <w:p>
      <w:pPr>
        <w:pStyle w:val="NumberedList"/>
        <w:numPr>
          <w:ilvl w:val="0"/>
          <w:numId w:val="32"/>
        </w:numPr>
      </w:pPr>
      <w:r>
        <w:t>Update the episode of care if it has changed.</w:t>
      </w:r>
    </w:p>
    <w:p>
      <w:pPr>
        <w:pStyle w:val="NumberedList"/>
        <w:spacing w:after="240"/>
      </w:pPr>
      <w:r>
        <w:t>Click the “Load” button to load the new version of the measure.</w:t>
      </w:r>
    </w:p>
    <w:p>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pPr>
        <w:pStyle w:val="FigureCaption"/>
      </w:pPr>
      <w:bookmarkStart w:id="110" w:name="_Ref459100171"/>
      <w:bookmarkStart w:id="111" w:name="_Toc467271999"/>
      <w:r>
        <w:t xml:space="preserve">Figure </w:t>
      </w:r>
      <w:fldSimple w:instr=" SEQ Figure \* ARABIC ">
        <w:r>
          <w:t>9</w:t>
        </w:r>
      </w:fldSimple>
      <w:bookmarkEnd w:id="110"/>
      <w:r>
        <w:t>. Updating Measure Dialog</w:t>
      </w:r>
      <w:bookmarkEnd w:id="111"/>
    </w:p>
    <w:p>
      <w:pPr>
        <w:pStyle w:val="Heading2"/>
      </w:pPr>
      <w:bookmarkStart w:id="112" w:name="_Toc439155306"/>
      <w:bookmarkStart w:id="113" w:name="_Toc439155668"/>
      <w:bookmarkStart w:id="114" w:name="_Toc439155748"/>
      <w:bookmarkStart w:id="115" w:name="_Toc439156657"/>
      <w:bookmarkStart w:id="116" w:name="_Toc439157823"/>
      <w:bookmarkStart w:id="117" w:name="_Toc439158067"/>
      <w:bookmarkStart w:id="118" w:name="_Toc439158249"/>
      <w:bookmarkStart w:id="119" w:name="_Toc439922488"/>
      <w:bookmarkStart w:id="120" w:name="_Toc439923958"/>
      <w:bookmarkStart w:id="121" w:name="_Toc439924027"/>
      <w:bookmarkStart w:id="122" w:name="_Toc467271957"/>
      <w:bookmarkEnd w:id="112"/>
      <w:bookmarkEnd w:id="113"/>
      <w:bookmarkEnd w:id="114"/>
      <w:bookmarkEnd w:id="115"/>
      <w:bookmarkEnd w:id="116"/>
      <w:bookmarkEnd w:id="117"/>
      <w:bookmarkEnd w:id="118"/>
      <w:bookmarkEnd w:id="119"/>
      <w:bookmarkEnd w:id="120"/>
      <w:bookmarkEnd w:id="121"/>
      <w:r>
        <w:t>Creating Synthetic Test Records</w:t>
      </w:r>
      <w:bookmarkEnd w:id="122"/>
    </w:p>
    <w:p>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fldSimple w:instr=" REF _Ref440364143  ">
        <w:r>
          <w:t xml:space="preserve">Figure </w:t>
        </w:r>
        <w:r>
          <w:rPr>
            <w:noProof/>
          </w:rPr>
          <w:t>15</w:t>
        </w:r>
      </w:fldSimple>
      <w:r>
        <w:t xml:space="preserve">. For more information, reference Section </w:t>
      </w:r>
      <w:fldSimple w:instr=" REF _Ref459208168 \r  ">
        <w:r>
          <w:t>5</w:t>
        </w:r>
      </w:fldSimple>
      <w:r>
        <w:t xml:space="preserve">, </w:t>
      </w:r>
      <w:r>
        <w:rPr>
          <w:i/>
        </w:rPr>
        <w:t>Building a Patient Test Record.</w:t>
      </w:r>
    </w:p>
    <w:p>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t xml:space="preserve">Figure </w:t>
        </w:r>
        <w:r>
          <w:rPr>
            <w:noProof/>
          </w:rPr>
          <w:t>10</w:t>
        </w:r>
      </w:fldSimple>
      <w:r>
        <w:t xml:space="preserve"> in Section </w:t>
      </w:r>
      <w:fldSimple w:instr=" REF _Ref459208213 \r  ">
        <w:r>
          <w:t>4</w:t>
        </w:r>
      </w:fldSimple>
      <w:r>
        <w:t>, shows more detailed results for a measure.</w:t>
      </w:r>
    </w:p>
    <w:p/>
    <w:p>
      <w:pPr>
        <w:sectPr>
          <w:pgSz w:w="12240" w:h="15840" w:code="1"/>
          <w:pgMar w:top="1440" w:right="1440" w:bottom="1440" w:left="1440" w:header="504" w:footer="504" w:gutter="0"/>
          <w:cols w:space="720"/>
          <w:titlePg/>
          <w:docGrid w:linePitch="360"/>
        </w:sectPr>
      </w:pPr>
    </w:p>
    <w:p>
      <w:pPr>
        <w:pStyle w:val="Heading1"/>
      </w:pPr>
      <w:bookmarkStart w:id="123" w:name="_Toc465345867"/>
      <w:bookmarkStart w:id="124" w:name="_Toc465345868"/>
      <w:bookmarkStart w:id="125" w:name="_Ref459207928"/>
      <w:bookmarkStart w:id="126" w:name="_Ref459208213"/>
      <w:bookmarkStart w:id="127" w:name="_Toc467271958"/>
      <w:bookmarkEnd w:id="123"/>
      <w:bookmarkEnd w:id="124"/>
      <w:r>
        <w:lastRenderedPageBreak/>
        <w:t>Measure Results View</w:t>
      </w:r>
      <w:bookmarkEnd w:id="125"/>
      <w:bookmarkEnd w:id="126"/>
      <w:bookmarkEnd w:id="127"/>
    </w:p>
    <w:p>
      <w:pPr>
        <w:pStyle w:val="Heading2"/>
      </w:pPr>
      <w:bookmarkStart w:id="128" w:name="_Toc467271959"/>
      <w:r>
        <w:t>Overview</w:t>
      </w:r>
      <w:bookmarkEnd w:id="128"/>
    </w:p>
    <w:p>
      <w:r>
        <w:t xml:space="preserve">As shown in </w:t>
      </w:r>
      <w:fldSimple w:instr=" REF _Ref459100358   \* MERGEFORMAT ">
        <w:r>
          <w:t xml:space="preserve">Figure </w:t>
        </w:r>
        <w:r>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
        <w:t xml:space="preserve">The following UI elements appear at the top of the Measure View page (indicated by their item numbers in </w:t>
      </w:r>
      <w:fldSimple w:instr=" REF _Ref459100358  \* MERGEFORMAT ">
        <w:r>
          <w:t xml:space="preserve">Figure </w:t>
        </w:r>
        <w:r>
          <w:rPr>
            <w:noProof/>
          </w:rPr>
          <w:t>10</w:t>
        </w:r>
      </w:fldSimple>
      <w:r>
        <w:t>):</w:t>
      </w:r>
    </w:p>
    <w:p>
      <w:pPr>
        <w:pStyle w:val="NumberedList"/>
        <w:numPr>
          <w:ilvl w:val="0"/>
          <w:numId w:val="41"/>
        </w:numPr>
      </w:pPr>
      <w:r>
        <w:t>Measure Title – Displays the title and description of the measure.</w:t>
      </w:r>
    </w:p>
    <w:p>
      <w:pPr>
        <w:pStyle w:val="NumberedList"/>
        <w:numPr>
          <w:ilvl w:val="0"/>
          <w:numId w:val="32"/>
        </w:numPr>
      </w:pPr>
      <w:r>
        <w:t>Measure Actions – Allows the user to delete or update a measure definition, activate an alternate view of the measure logic, or open the Beta Clinical Quality Language (CQL) Learning Tool.</w:t>
      </w:r>
    </w:p>
    <w:p>
      <w:pPr>
        <w:pStyle w:val="NumberedList"/>
        <w:numPr>
          <w:ilvl w:val="0"/>
          <w:numId w:val="32"/>
        </w:numPr>
      </w:pPr>
      <w:r>
        <w:t>Measure Complexity – Indicates the measure’s degree of complexity.</w:t>
      </w:r>
    </w:p>
    <w:p>
      <w:pPr>
        <w:pStyle w:val="NumberedList"/>
        <w:numPr>
          <w:ilvl w:val="0"/>
          <w:numId w:val="32"/>
        </w:numPr>
      </w:pPr>
      <w:r>
        <w:t>Measure Subpopulations or Stratifications – Allows access to different subpopulations or stratifications in the measure.</w:t>
      </w:r>
    </w:p>
    <w:p>
      <w:pPr>
        <w:pStyle w:val="NumberedList"/>
        <w:numPr>
          <w:ilvl w:val="0"/>
          <w:numId w:val="32"/>
        </w:numPr>
      </w:pPr>
      <w:r>
        <w:t>Measure Logic – Displays a representation of the logic for the measure.</w:t>
      </w:r>
    </w:p>
    <w:p>
      <w:pPr>
        <w:pStyle w:val="NumberedList"/>
        <w:numPr>
          <w:ilvl w:val="0"/>
          <w:numId w:val="32"/>
        </w:numPr>
      </w:pPr>
      <w:r>
        <w:t>Logic Highlighted With Coverage – Displays the logic for the measure, highlighting which lines of the measure are covered by the test patients.</w:t>
      </w:r>
    </w:p>
    <w:p>
      <w:pPr>
        <w:pStyle w:val="NumberedList"/>
        <w:numPr>
          <w:ilvl w:val="0"/>
          <w:numId w:val="32"/>
        </w:numPr>
      </w:pPr>
      <w:r>
        <w:t>Patient Actions – Allows the user to export patient records and access the Patient Bank.</w:t>
      </w:r>
    </w:p>
    <w:p>
      <w:pPr>
        <w:pStyle w:val="NumberedList"/>
        <w:numPr>
          <w:ilvl w:val="0"/>
          <w:numId w:val="32"/>
        </w:numPr>
      </w:pPr>
      <w:r>
        <w:t>Percent Successful – Displays the percent of patients currently meeting expectations for the measure.</w:t>
      </w:r>
    </w:p>
    <w:p>
      <w:pPr>
        <w:pStyle w:val="NumberedList"/>
        <w:numPr>
          <w:ilvl w:val="0"/>
          <w:numId w:val="32"/>
        </w:numPr>
      </w:pPr>
      <w:r>
        <w:t>Patients Passing Count – Displays the current number of patients meeting expectations over the total number of patients in the test deck for the measure.</w:t>
      </w:r>
    </w:p>
    <w:p>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pPr>
        <w:pStyle w:val="NumberedList"/>
        <w:numPr>
          <w:ilvl w:val="0"/>
          <w:numId w:val="32"/>
        </w:numPr>
      </w:pPr>
      <w:r>
        <w:t>Add Patient – Allows the addition of a new patient to the test deck for this measure.</w:t>
      </w:r>
    </w:p>
    <w:p>
      <w:pPr>
        <w:pStyle w:val="NumberedList"/>
        <w:numPr>
          <w:ilvl w:val="0"/>
          <w:numId w:val="32"/>
        </w:numPr>
      </w:pPr>
      <w:r>
        <w:t>Failing Patient – Displays an example of a patient that is not currently meeting expectations for the measure.</w:t>
      </w:r>
    </w:p>
    <w:p>
      <w:pPr>
        <w:pStyle w:val="NumberedList"/>
        <w:numPr>
          <w:ilvl w:val="0"/>
          <w:numId w:val="32"/>
        </w:numPr>
      </w:pPr>
      <w:r>
        <w:t>Passing Patient – Displays an example of a patient that is meeting expectations.</w:t>
      </w:r>
    </w:p>
    <w:p>
      <w:pPr>
        <w:pStyle w:val="NumberedList"/>
        <w:numPr>
          <w:ilvl w:val="0"/>
          <w:numId w:val="32"/>
        </w:numPr>
      </w:pPr>
      <w:r>
        <w:lastRenderedPageBreak/>
        <w:t>Patient Name – Displays the name given to the patient.</w:t>
      </w:r>
    </w:p>
    <w:p>
      <w:pPr>
        <w:pStyle w:val="NumberedList"/>
        <w:numPr>
          <w:ilvl w:val="0"/>
          <w:numId w:val="32"/>
        </w:numPr>
      </w:pPr>
      <w:r>
        <w:t>Patient Status – Displays PASS or FAIL to indicate if the patient is meeting expectations.</w:t>
      </w:r>
    </w:p>
    <w:p>
      <w:pPr>
        <w:pStyle w:val="NumberedList"/>
      </w:pPr>
      <w:r>
        <w:t>Expand Patient Results Button – Displays the calculation details of a patient. This display will show the expected and actual values for the patient against the measure.</w:t>
      </w:r>
    </w:p>
    <w:p>
      <w:pPr>
        <w:pStyle w:val="NumberedList"/>
      </w:pPr>
      <w:r>
        <w:t>Measure Details – Clicking this button navigates the user to the Measure Details view. This is the current view.</w:t>
      </w:r>
    </w:p>
    <w:p>
      <w:pPr>
        <w:pStyle w:val="NumberedList"/>
        <w:spacing w:after="24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t>6</w:t>
      </w:r>
      <w:r>
        <w:fldChar w:fldCharType="end"/>
      </w:r>
      <w:r>
        <w:t>.</w:t>
      </w:r>
    </w:p>
    <w:p>
      <w:pPr>
        <w:pStyle w:val="Figure"/>
        <w:rPr>
          <w:b w:val="0"/>
        </w:rPr>
      </w:pPr>
      <w:r>
        <w:rPr>
          <w:noProof/>
        </w:rPr>
        <w:drawing>
          <wp:inline distT="0" distB="0" distL="0" distR="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22" cy="3781135"/>
                    </a:xfrm>
                    <a:prstGeom prst="rect">
                      <a:avLst/>
                    </a:prstGeom>
                    <a:ln>
                      <a:solidFill>
                        <a:schemeClr val="tx1"/>
                      </a:solidFill>
                    </a:ln>
                  </pic:spPr>
                </pic:pic>
              </a:graphicData>
            </a:graphic>
          </wp:inline>
        </w:drawing>
      </w:r>
    </w:p>
    <w:p>
      <w:pPr>
        <w:pStyle w:val="FigureCaption"/>
      </w:pPr>
      <w:bookmarkStart w:id="129" w:name="_Ref459100358"/>
      <w:bookmarkStart w:id="130" w:name="_Ref459109233"/>
      <w:bookmarkStart w:id="131" w:name="_Toc467272000"/>
      <w:r>
        <w:t xml:space="preserve">Figure </w:t>
      </w:r>
      <w:fldSimple w:instr=" SEQ Figure \* ARABIC ">
        <w:r>
          <w:t>10</w:t>
        </w:r>
      </w:fldSimple>
      <w:bookmarkEnd w:id="129"/>
      <w:r>
        <w:t>. Measure View</w:t>
      </w:r>
      <w:bookmarkEnd w:id="130"/>
      <w:bookmarkEnd w:id="131"/>
    </w:p>
    <w:p>
      <w:r>
        <w:t xml:space="preserve">The following UI elements (indicated by their item numbers in </w:t>
      </w:r>
      <w:fldSimple w:instr=" REF _Ref459100555 ">
        <w:r>
          <w:t xml:space="preserve">Figure </w:t>
        </w:r>
        <w:r>
          <w:rPr>
            <w:noProof/>
          </w:rPr>
          <w:t>11</w:t>
        </w:r>
      </w:fldSimple>
      <w:r>
        <w:t>) appear at the bottom of the Measure View Page:</w:t>
      </w:r>
    </w:p>
    <w:p>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pPr>
        <w:pStyle w:val="NumberedList"/>
      </w:pPr>
      <w:r>
        <w:t>Supplemental Data Elements – Any additional data elements that can be associated with a patient for a given measure. Generally, this includes non-medical patient demographic information.</w:t>
      </w:r>
    </w:p>
    <w:p>
      <w:pPr>
        <w:pStyle w:val="Figure"/>
        <w:rPr>
          <w:b w:val="0"/>
        </w:rPr>
      </w:pPr>
      <w:r>
        <w:rPr>
          <w:noProof/>
        </w:rPr>
        <w:lastRenderedPageBreak/>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517" cy="3286656"/>
                    </a:xfrm>
                    <a:prstGeom prst="rect">
                      <a:avLst/>
                    </a:prstGeom>
                    <a:ln>
                      <a:solidFill>
                        <a:schemeClr val="tx1"/>
                      </a:solidFill>
                    </a:ln>
                  </pic:spPr>
                </pic:pic>
              </a:graphicData>
            </a:graphic>
          </wp:inline>
        </w:drawing>
      </w:r>
    </w:p>
    <w:p>
      <w:pPr>
        <w:pStyle w:val="FigureCaption"/>
      </w:pPr>
      <w:bookmarkStart w:id="132" w:name="_Ref459100555"/>
      <w:bookmarkStart w:id="133" w:name="_Toc467272001"/>
      <w:r>
        <w:t xml:space="preserve">Figure </w:t>
      </w:r>
      <w:fldSimple w:instr=" SEQ Figure \* ARABIC ">
        <w:r>
          <w:t>11</w:t>
        </w:r>
      </w:fldSimple>
      <w:bookmarkEnd w:id="132"/>
      <w:r>
        <w:t>. Measure Data Criteria and Supplemental Data Elements</w:t>
      </w:r>
      <w:bookmarkEnd w:id="133"/>
    </w:p>
    <w:p>
      <w:pPr>
        <w:pStyle w:val="Heading2"/>
      </w:pPr>
      <w:bookmarkStart w:id="134" w:name="_Toc439158071"/>
      <w:bookmarkStart w:id="135" w:name="_Toc439158253"/>
      <w:bookmarkStart w:id="136" w:name="_Toc439922492"/>
      <w:bookmarkStart w:id="137" w:name="_Toc439923962"/>
      <w:bookmarkStart w:id="138" w:name="_Toc439924031"/>
      <w:bookmarkStart w:id="139" w:name="_Toc439158072"/>
      <w:bookmarkStart w:id="140" w:name="_Toc439158102"/>
      <w:bookmarkStart w:id="141" w:name="_Toc439158254"/>
      <w:bookmarkStart w:id="142" w:name="_Toc439158284"/>
      <w:bookmarkStart w:id="143" w:name="_Toc439158300"/>
      <w:bookmarkStart w:id="144" w:name="_Toc439158872"/>
      <w:bookmarkStart w:id="145" w:name="_Toc439226574"/>
      <w:bookmarkStart w:id="146" w:name="_Toc439685373"/>
      <w:bookmarkStart w:id="147" w:name="_Toc439685389"/>
      <w:bookmarkStart w:id="148" w:name="_Toc439919289"/>
      <w:bookmarkStart w:id="149" w:name="_Toc439919370"/>
      <w:bookmarkStart w:id="150" w:name="_Toc439922457"/>
      <w:bookmarkStart w:id="151" w:name="_Toc439922493"/>
      <w:bookmarkStart w:id="152" w:name="_Toc439922525"/>
      <w:bookmarkStart w:id="153" w:name="_Toc439923963"/>
      <w:bookmarkStart w:id="154" w:name="_Toc439923995"/>
      <w:bookmarkStart w:id="155" w:name="_Toc439924032"/>
      <w:bookmarkStart w:id="156" w:name="_Toc439924063"/>
      <w:bookmarkStart w:id="157" w:name="_Toc46727196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t>Measure Logic</w:t>
      </w:r>
      <w:bookmarkEnd w:id="157"/>
    </w:p>
    <w:p>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t>4.4</w:t>
        </w:r>
      </w:fldSimple>
      <w:r>
        <w:t xml:space="preserve">, </w:t>
      </w:r>
      <w:r>
        <w:rPr>
          <w:i/>
        </w:rPr>
        <w:t>Calculation Results</w:t>
      </w:r>
      <w:r>
        <w:t>) and to visualize the test coverage of the measure logic.</w:t>
      </w:r>
    </w:p>
    <w:p>
      <w:pPr>
        <w:pStyle w:val="Heading2"/>
      </w:pPr>
      <w:bookmarkStart w:id="158" w:name="_Toc467271961"/>
      <w:r>
        <w:t>Creating a New Test Record</w:t>
      </w:r>
      <w:bookmarkEnd w:id="158"/>
    </w:p>
    <w:p>
      <w:r>
        <w:t>To create a new test record, begin by clicking the “Add Patient” button (item #11) in the Measure View (</w:t>
      </w:r>
      <w:fldSimple w:instr=" REF _Ref459100358  ">
        <w:r>
          <w:t xml:space="preserve">Figure </w:t>
        </w:r>
        <w:r>
          <w:rPr>
            <w:noProof/>
          </w:rPr>
          <w:t>10</w:t>
        </w:r>
      </w:fldSimple>
      <w:r>
        <w:t xml:space="preserve">). This action opens the Patient Builder (shown in </w:t>
      </w:r>
      <w:fldSimple w:instr=" REF _Ref440364143  ">
        <w:r>
          <w:t xml:space="preserve">Figure </w:t>
        </w:r>
        <w:r>
          <w:rPr>
            <w:noProof/>
          </w:rPr>
          <w:t>15</w:t>
        </w:r>
      </w:fldSimple>
      <w:r>
        <w:t>). Once a patient record has been created, the application returns the user to the Measure View where the user can evaluate the results of calculating the patient against the measure.</w:t>
      </w:r>
    </w:p>
    <w:p>
      <w:pPr>
        <w:pStyle w:val="Heading2"/>
        <w:keepLines/>
      </w:pPr>
      <w:bookmarkStart w:id="159" w:name="_Ref459207965"/>
      <w:bookmarkStart w:id="160" w:name="_Ref459208120"/>
      <w:bookmarkStart w:id="161" w:name="_Ref459208249"/>
      <w:bookmarkStart w:id="162" w:name="_Toc467271962"/>
      <w:r>
        <w:lastRenderedPageBreak/>
        <w:t>Calculation Results</w:t>
      </w:r>
      <w:bookmarkEnd w:id="159"/>
      <w:bookmarkEnd w:id="160"/>
      <w:bookmarkEnd w:id="161"/>
      <w:bookmarkEnd w:id="162"/>
    </w:p>
    <w:p>
      <w:pPr>
        <w:keepNext/>
        <w:keepLines/>
      </w:pPr>
      <w:r>
        <w:t>Once the user has constructed a test patient record, the user can calculate that patient against the logic of the measure in the Measure View (</w:t>
      </w:r>
      <w:fldSimple w:instr=" REF _Ref459100358 ">
        <w:r>
          <w:t xml:space="preserve">Figure </w:t>
        </w:r>
        <w:r>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
        <w:t xml:space="preserve">The Expanded Results View employs the following UI elements (as indicated by their item numbers in </w:t>
      </w:r>
      <w:fldSimple w:instr=" REF _Ref459100788  ">
        <w:r>
          <w:t xml:space="preserve">Figure </w:t>
        </w:r>
        <w:r>
          <w:rPr>
            <w:noProof/>
          </w:rPr>
          <w:t>12</w:t>
        </w:r>
      </w:fldSimple>
      <w:r>
        <w:t>):</w:t>
      </w:r>
    </w:p>
    <w:p>
      <w:pPr>
        <w:pStyle w:val="NumberedList"/>
        <w:numPr>
          <w:ilvl w:val="0"/>
          <w:numId w:val="42"/>
        </w:numPr>
      </w:pPr>
      <w:r>
        <w:t>Failing Population – A population for which the patient fails.</w:t>
      </w:r>
    </w:p>
    <w:p>
      <w:pPr>
        <w:pStyle w:val="NumberedList"/>
        <w:numPr>
          <w:ilvl w:val="0"/>
          <w:numId w:val="42"/>
        </w:numPr>
      </w:pPr>
      <w:r>
        <w:t>Passing Population – A population for which the patient passes.</w:t>
      </w:r>
    </w:p>
    <w:p>
      <w:pPr>
        <w:pStyle w:val="NumberedList"/>
        <w:numPr>
          <w:ilvl w:val="0"/>
          <w:numId w:val="32"/>
        </w:numPr>
      </w:pPr>
      <w:r>
        <w:t>Population Column – A list of the population types.</w:t>
      </w:r>
    </w:p>
    <w:p>
      <w:pPr>
        <w:pStyle w:val="NumberedList"/>
        <w:numPr>
          <w:ilvl w:val="0"/>
          <w:numId w:val="32"/>
        </w:numPr>
      </w:pPr>
      <w:r>
        <w:t>Expected Value – The user-defined expected value for the population.</w:t>
      </w:r>
    </w:p>
    <w:p>
      <w:pPr>
        <w:pStyle w:val="NumberedList"/>
        <w:numPr>
          <w:ilvl w:val="0"/>
          <w:numId w:val="32"/>
        </w:numPr>
      </w:pPr>
      <w:r>
        <w:t>Actual Value – The calculated value for that population.</w:t>
      </w:r>
    </w:p>
    <w:p>
      <w:pPr>
        <w:pStyle w:val="NumberedList"/>
        <w:numPr>
          <w:ilvl w:val="0"/>
          <w:numId w:val="32"/>
        </w:numPr>
      </w:pPr>
      <w:r>
        <w:t>Edit Patient Button – Allows editing of the selected patient.</w:t>
      </w:r>
    </w:p>
    <w:p>
      <w:pPr>
        <w:pStyle w:val="NumberedList"/>
        <w:numPr>
          <w:ilvl w:val="0"/>
          <w:numId w:val="32"/>
        </w:numPr>
      </w:pPr>
      <w:r>
        <w:t>Clone Patient Button – Allows cloning of the selected patient.</w:t>
      </w:r>
    </w:p>
    <w:p>
      <w:pPr>
        <w:pStyle w:val="NumberedList"/>
        <w:numPr>
          <w:ilvl w:val="0"/>
          <w:numId w:val="32"/>
        </w:numPr>
      </w:pPr>
      <w:r>
        <w:t>Delete Patient Button – Allows deleting of the selected patient.</w:t>
      </w:r>
    </w:p>
    <w:p>
      <w:pPr>
        <w:pStyle w:val="NumberedList"/>
        <w:spacing w:after="240"/>
      </w:pPr>
      <w:r>
        <w:t>Share Patient Button – Allows sharing the selected patient to the Patient Bank. If already shared, this will display as “Unshare” and will allow the patient to be retracted from the Patient Bank.</w:t>
      </w:r>
    </w:p>
    <w:p>
      <w:pPr>
        <w:pStyle w:val="Figure"/>
        <w:rPr>
          <w:b w:val="0"/>
        </w:rPr>
      </w:pPr>
      <w:r>
        <w:rPr>
          <w:noProof/>
        </w:rPr>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pPr>
        <w:pStyle w:val="FigureCaption"/>
      </w:pPr>
      <w:bookmarkStart w:id="163" w:name="_Ref459100788"/>
      <w:bookmarkStart w:id="164" w:name="_Toc467272002"/>
      <w:r>
        <w:t xml:space="preserve">Figure </w:t>
      </w:r>
      <w:fldSimple w:instr=" SEQ Figure \* ARABIC ">
        <w:r>
          <w:t>12</w:t>
        </w:r>
      </w:fldSimple>
      <w:bookmarkEnd w:id="163"/>
      <w:r>
        <w:t>. Expanded Results View</w:t>
      </w:r>
      <w:bookmarkEnd w:id="164"/>
    </w:p>
    <w:p>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0"/>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pPr>
        <w:pStyle w:val="FigureCaption"/>
      </w:pPr>
      <w:bookmarkStart w:id="165" w:name="_Ref459100814"/>
      <w:bookmarkStart w:id="166" w:name="_Toc467272003"/>
      <w:r>
        <w:t xml:space="preserve">Figure </w:t>
      </w:r>
      <w:fldSimple w:instr=" SEQ Figure \* ARABIC ">
        <w:r>
          <w:t>13</w:t>
        </w:r>
      </w:fldSimple>
      <w:bookmarkEnd w:id="165"/>
      <w:r>
        <w:t xml:space="preserve">. </w:t>
      </w:r>
      <w:bookmarkStart w:id="167" w:name="_Toc439154846"/>
      <w:r>
        <w:t>Logic Calculation Highlight – Passing Results</w:t>
      </w:r>
      <w:bookmarkEnd w:id="166"/>
      <w:bookmarkEnd w:id="167"/>
    </w:p>
    <w:p>
      <w:fldSimple w:instr=" REF _Ref459100814 ">
        <w:r>
          <w:t xml:space="preserve">Figure </w:t>
        </w:r>
        <w:r>
          <w:rPr>
            <w:noProof/>
          </w:rPr>
          <w:t>13</w:t>
        </w:r>
      </w:fldSimple>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pPr>
        <w:pStyle w:val="BulletListMultiple"/>
        <w:spacing w:before="0" w:after="120"/>
      </w:pPr>
      <w:r>
        <w:t>Logic evaluated to TRUE – Green highlighting along with a checkmark icon</w:t>
      </w:r>
    </w:p>
    <w:p>
      <w:pPr>
        <w:pStyle w:val="BulletListMultiple"/>
        <w:spacing w:before="0" w:after="120"/>
      </w:pPr>
      <w:r>
        <w:t>Logic evaluated to FALSE – Red highlighting along with an “x” icon</w:t>
      </w:r>
    </w:p>
    <w:p>
      <w:pPr>
        <w:pStyle w:val="BulletListMultipleLast"/>
      </w:pPr>
      <w:r>
        <w:t>Unaligned Specific Occurrences – Red highlighting along with a bold red asterisk icon (“</w:t>
      </w:r>
      <w:r>
        <w:rPr>
          <w:b/>
          <w:szCs w:val="24"/>
        </w:rPr>
        <w:t>*</w:t>
      </w:r>
      <w:r>
        <w:t>”)</w:t>
      </w:r>
    </w:p>
    <w:p>
      <w:r>
        <w:t xml:space="preserve">The results of the calculation in </w:t>
      </w:r>
      <w:fldSimple w:instr=" REF _Ref459100814 ">
        <w:r>
          <w:t xml:space="preserve">Figure </w:t>
        </w:r>
        <w:r>
          <w:rPr>
            <w:noProof/>
          </w:rPr>
          <w:t>13</w:t>
        </w:r>
      </w:fldSimple>
      <w:r>
        <w:t xml:space="preserve"> are that the patient aligns with the logic of the initial patient population (IPP). The highlighting of the logic in </w:t>
      </w:r>
      <w:fldSimple w:instr=" REF _Ref459100814 ">
        <w:r>
          <w:t xml:space="preserve">Figure </w:t>
        </w:r>
        <w:r>
          <w:rPr>
            <w:noProof/>
          </w:rPr>
          <w:t>13</w:t>
        </w:r>
      </w:fldSimple>
      <w:r>
        <w:t xml:space="preserve"> indicates that every AND condition evaluated to true and at least one condition from each OR evaluated to true. Based on this calculation, the IPP evaluates to true for the patient.</w:t>
      </w:r>
    </w:p>
    <w:p>
      <w:pPr>
        <w:pStyle w:val="Figure"/>
        <w:rPr>
          <w:b w:val="0"/>
        </w:rPr>
      </w:pPr>
      <w:r>
        <w:rPr>
          <w:noProof/>
        </w:rPr>
        <w:lastRenderedPageBreak/>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37325"/>
                    </a:xfrm>
                    <a:prstGeom prst="rect">
                      <a:avLst/>
                    </a:prstGeom>
                    <a:ln>
                      <a:solidFill>
                        <a:schemeClr val="tx1"/>
                      </a:solidFill>
                    </a:ln>
                  </pic:spPr>
                </pic:pic>
              </a:graphicData>
            </a:graphic>
          </wp:inline>
        </w:drawing>
      </w:r>
    </w:p>
    <w:p>
      <w:pPr>
        <w:pStyle w:val="FigureCaption"/>
      </w:pPr>
      <w:bookmarkStart w:id="168" w:name="_Ref459100823"/>
      <w:bookmarkStart w:id="169" w:name="_Toc467272004"/>
      <w:r>
        <w:t xml:space="preserve">Figure </w:t>
      </w:r>
      <w:fldSimple w:instr=" SEQ Figure \* ARABIC ">
        <w:r>
          <w:t>14</w:t>
        </w:r>
      </w:fldSimple>
      <w:bookmarkEnd w:id="168"/>
      <w:r>
        <w:t>. Logic Calculation Highlight – Failing Results</w:t>
      </w:r>
      <w:bookmarkEnd w:id="169"/>
    </w:p>
    <w:p>
      <w:r>
        <w:t xml:space="preserve">In </w:t>
      </w:r>
      <w:fldSimple w:instr=" REF _Ref459100823  ">
        <w:r>
          <w:t xml:space="preserve">Figure </w:t>
        </w:r>
        <w:r>
          <w:rPr>
            <w:noProof/>
          </w:rPr>
          <w:t>14</w:t>
        </w:r>
      </w:fldSimple>
      <w:r>
        <w:t xml:space="preserve">, all the logical statements are highlighted in red, indicating that all statements evaluate to false. </w:t>
      </w:r>
      <w:fldSimple w:instr=" REF _Ref459100823  ">
        <w:r>
          <w:t xml:space="preserve">Figure </w:t>
        </w:r>
        <w:r>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t xml:space="preserve">Figure </w:t>
        </w:r>
        <w:r>
          <w:rPr>
            <w:noProof/>
          </w:rPr>
          <w:t>14</w:t>
        </w:r>
      </w:fldSimple>
      <w:r>
        <w:t xml:space="preserve"> indicate that the patient is not included in the IPP.</w:t>
      </w:r>
    </w:p>
    <w:p>
      <w:pPr>
        <w:pStyle w:val="Heading2"/>
      </w:pPr>
      <w:bookmarkStart w:id="170" w:name="_Toc467271963"/>
      <w:r>
        <w:t>Editing a Test Record</w:t>
      </w:r>
      <w:bookmarkEnd w:id="170"/>
    </w:p>
    <w:p>
      <w:r>
        <w:t>The user can edit a test patient from the Measure View (</w:t>
      </w:r>
      <w:fldSimple w:instr=" REF _Ref459100358  ">
        <w:r>
          <w:t xml:space="preserve">Figure </w:t>
        </w:r>
        <w:r>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t xml:space="preserve">Figure </w:t>
        </w:r>
        <w:r>
          <w:rPr>
            <w:noProof/>
          </w:rPr>
          <w:t>12</w:t>
        </w:r>
      </w:fldSimple>
      <w:r>
        <w:t xml:space="preserve">), accessible after expanding the patient result. Clicking the “Edit” button opens the Patient Builder (as shown in </w:t>
      </w:r>
      <w:fldSimple w:instr=" REF _Ref440364143  ">
        <w:r>
          <w:t xml:space="preserve">Figure </w:t>
        </w:r>
        <w:r>
          <w:rPr>
            <w:noProof/>
          </w:rPr>
          <w:t>15</w:t>
        </w:r>
      </w:fldSimple>
      <w:r>
        <w:t>) with the data populated for that patient. Once a patient record has been edited and saved, the application returns the user to the Measure View.</w:t>
      </w:r>
    </w:p>
    <w:p>
      <w:pPr>
        <w:pStyle w:val="Heading2"/>
      </w:pPr>
      <w:bookmarkStart w:id="171" w:name="_Toc467271964"/>
      <w:r>
        <w:t>Cloning a Test Record</w:t>
      </w:r>
      <w:bookmarkEnd w:id="171"/>
    </w:p>
    <w:p>
      <w:r>
        <w:t>The user can clone a test patient from the Measure View (</w:t>
      </w:r>
      <w:fldSimple w:instr=" REF _Ref459100358  ">
        <w:r>
          <w:t xml:space="preserve">Figure </w:t>
        </w:r>
        <w:r>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t xml:space="preserve">Figure </w:t>
        </w:r>
        <w:r>
          <w:rPr>
            <w:noProof/>
          </w:rPr>
          <w:t>12</w:t>
        </w:r>
      </w:fldSimple>
      <w:r>
        <w:t>) to the immediate right of the “Edit” button, accessible after expanding the patient result. This action opens the Patient Builder (</w:t>
      </w:r>
      <w:fldSimple w:instr=" REF _Ref440364143 ">
        <w:r>
          <w:t xml:space="preserve">Figure </w:t>
        </w:r>
        <w:r>
          <w:rPr>
            <w:noProof/>
          </w:rPr>
          <w:t>15</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pPr>
        <w:pStyle w:val="Heading2"/>
      </w:pPr>
      <w:bookmarkStart w:id="172" w:name="_Toc467271965"/>
      <w:r>
        <w:lastRenderedPageBreak/>
        <w:t>Deleting a Test Record</w:t>
      </w:r>
      <w:bookmarkEnd w:id="172"/>
    </w:p>
    <w:p>
      <w:r>
        <w:t>The user can delete a test patient from the Measure View (</w:t>
      </w:r>
      <w:fldSimple w:instr=" REF _Ref459100358  ">
        <w:r>
          <w:t xml:space="preserve">Figure </w:t>
        </w:r>
        <w:r>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t xml:space="preserve">Figure </w:t>
        </w:r>
        <w:r>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pPr>
        <w:pStyle w:val="Heading2"/>
      </w:pPr>
      <w:bookmarkStart w:id="173" w:name="_Toc467271966"/>
      <w:r>
        <w:t>Sharing a Test Record</w:t>
      </w:r>
      <w:bookmarkEnd w:id="173"/>
    </w:p>
    <w:p>
      <w:r>
        <w:t>The user can share a test patient from the Measure View (</w:t>
      </w:r>
      <w:fldSimple w:instr=" REF _Ref459100358  ">
        <w:r>
          <w:t xml:space="preserve">Figure </w:t>
        </w:r>
        <w:r>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t xml:space="preserve">Figure </w:t>
        </w:r>
        <w:r>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r>
          <w:t>8</w:t>
        </w:r>
      </w:fldSimple>
      <w:r>
        <w:t xml:space="preserve"> provides more detail on the Patient Bank.</w:t>
      </w:r>
    </w:p>
    <w:p>
      <w:pPr>
        <w:pStyle w:val="Heading2"/>
      </w:pPr>
      <w:bookmarkStart w:id="174" w:name="_Toc467271967"/>
      <w:r>
        <w:t>Updating a Measure</w:t>
      </w:r>
      <w:bookmarkEnd w:id="174"/>
    </w:p>
    <w:p>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xml:space="preserve">). The “Update Measures” button displays the Update Measure Dialog (shown in </w:t>
      </w:r>
      <w:fldSimple w:instr=" REF _Ref459100171  ">
        <w:r>
          <w:t xml:space="preserve">Figure </w:t>
        </w:r>
        <w:r>
          <w:rPr>
            <w:noProof/>
          </w:rPr>
          <w:t>9</w:t>
        </w:r>
      </w:fldSimple>
      <w:r>
        <w:t>), which allows the user to specify a new zip package for a measure exported from the MAT. Once the new measure package has been entered, the user clicks the “Load” button, which updates the measure definition and returns the user to the Measure View with the updated measure definition.</w:t>
      </w:r>
    </w:p>
    <w:p>
      <w:pPr>
        <w:pStyle w:val="Heading2"/>
      </w:pPr>
      <w:bookmarkStart w:id="175" w:name="_Toc467271968"/>
      <w:r>
        <w:t>Deleting a Measure</w:t>
      </w:r>
      <w:bookmarkEnd w:id="175"/>
    </w:p>
    <w:p>
      <w:r>
        <w:t>The user can delete a measure from the Measure View (</w:t>
      </w:r>
      <w:fldSimple w:instr=" REF _Ref459100358 ">
        <w:r>
          <w:t xml:space="preserve">Figure </w:t>
        </w:r>
        <w:r>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p>
      <w:pPr>
        <w:sectPr>
          <w:headerReference w:type="first" r:id="rId42"/>
          <w:footerReference w:type="first" r:id="rId43"/>
          <w:pgSz w:w="12240" w:h="15840" w:code="1"/>
          <w:pgMar w:top="1440" w:right="1440" w:bottom="1440" w:left="1440" w:header="504" w:footer="504" w:gutter="0"/>
          <w:cols w:space="720"/>
          <w:titlePg/>
          <w:docGrid w:linePitch="360"/>
        </w:sectPr>
      </w:pPr>
    </w:p>
    <w:p>
      <w:pPr>
        <w:pStyle w:val="Heading1"/>
      </w:pPr>
      <w:bookmarkStart w:id="176" w:name="_Ref459207741"/>
      <w:bookmarkStart w:id="177" w:name="_Ref459207752"/>
      <w:bookmarkStart w:id="178" w:name="_Ref459207780"/>
      <w:bookmarkStart w:id="179" w:name="_Ref459207791"/>
      <w:bookmarkStart w:id="180" w:name="_Ref459208168"/>
      <w:bookmarkStart w:id="181" w:name="_Toc467271969"/>
      <w:r>
        <w:lastRenderedPageBreak/>
        <w:t>Building a Patient Test Record</w:t>
      </w:r>
      <w:bookmarkEnd w:id="176"/>
      <w:bookmarkEnd w:id="177"/>
      <w:bookmarkEnd w:id="178"/>
      <w:bookmarkEnd w:id="179"/>
      <w:bookmarkEnd w:id="180"/>
      <w:bookmarkEnd w:id="181"/>
    </w:p>
    <w:p>
      <w:pPr>
        <w:pStyle w:val="Heading2"/>
      </w:pPr>
      <w:bookmarkStart w:id="182" w:name="_Toc467271970"/>
      <w:r>
        <w:t>Overview</w:t>
      </w:r>
      <w:bookmarkEnd w:id="182"/>
    </w:p>
    <w:p>
      <w:r>
        <w:t xml:space="preserve">The Patient Builder view, as shown in </w:t>
      </w:r>
      <w:fldSimple w:instr=" REF _Ref440364143  \* MERGEFORMAT ">
        <w:r>
          <w:t xml:space="preserve">Figure </w:t>
        </w:r>
        <w:r>
          <w:rPr>
            <w:noProof/>
          </w:rPr>
          <w:t>15</w:t>
        </w:r>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t xml:space="preserve">Figure </w:t>
        </w:r>
        <w:r>
          <w:rPr>
            <w:noProof/>
          </w:rPr>
          <w:t>10</w:t>
        </w:r>
      </w:fldSimple>
      <w:r>
        <w:t>).</w:t>
      </w:r>
    </w:p>
    <w:p>
      <w:r>
        <w:t xml:space="preserve">The Patient Builder View employs the following UI elements (as indicated by their item numbers in </w:t>
      </w:r>
      <w:fldSimple w:instr=" REF _Ref440364143  ">
        <w:r>
          <w:t xml:space="preserve">Figure </w:t>
        </w:r>
        <w:r>
          <w:rPr>
            <w:noProof/>
          </w:rPr>
          <w:t>15</w:t>
        </w:r>
      </w:fldSimple>
      <w:r>
        <w:t>):</w:t>
      </w:r>
    </w:p>
    <w:p>
      <w:pPr>
        <w:pStyle w:val="NumberedList"/>
        <w:numPr>
          <w:ilvl w:val="0"/>
          <w:numId w:val="53"/>
        </w:numPr>
      </w:pPr>
      <w:r>
        <w:t>Patient Name – Allows the entry of a first and last name for the patient record.</w:t>
      </w:r>
    </w:p>
    <w:p>
      <w:pPr>
        <w:pStyle w:val="NumberedList"/>
        <w:numPr>
          <w:ilvl w:val="0"/>
          <w:numId w:val="32"/>
        </w:numPr>
      </w:pPr>
      <w:r>
        <w:t>Patient Characteristics – Allows the definition of characteristics data for the patient.</w:t>
      </w:r>
    </w:p>
    <w:p>
      <w:pPr>
        <w:pStyle w:val="NumberedList"/>
        <w:numPr>
          <w:ilvl w:val="0"/>
          <w:numId w:val="32"/>
        </w:numPr>
      </w:pPr>
      <w:r>
        <w:t>Measure Information – Shows the description for the patient’s associated measure.</w:t>
      </w:r>
    </w:p>
    <w:p>
      <w:pPr>
        <w:pStyle w:val="NumberedList"/>
        <w:numPr>
          <w:ilvl w:val="0"/>
          <w:numId w:val="32"/>
        </w:numPr>
      </w:pPr>
      <w:r>
        <w:t>Expectations – Allows users to set the calculation expectation for each population of the measure.</w:t>
      </w:r>
    </w:p>
    <w:p>
      <w:pPr>
        <w:pStyle w:val="NumberedList"/>
        <w:numPr>
          <w:ilvl w:val="0"/>
          <w:numId w:val="32"/>
        </w:numPr>
        <w:spacing w:after="240"/>
      </w:pPr>
      <w:r>
        <w:t>Actions – Allows users to save or cancel a patient record.</w:t>
      </w:r>
    </w:p>
    <w:p>
      <w:pPr>
        <w:pStyle w:val="Figure"/>
        <w:rPr>
          <w:b w:val="0"/>
        </w:rPr>
      </w:pPr>
      <w:r>
        <w:rPr>
          <w:noProof/>
        </w:rPr>
        <w:drawing>
          <wp:inline distT="0" distB="0" distL="0" distR="0">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pPr>
        <w:pStyle w:val="FigureCaption"/>
      </w:pPr>
      <w:bookmarkStart w:id="183" w:name="_Toc467272005"/>
      <w:r>
        <w:t xml:space="preserve">Figure </w:t>
      </w:r>
      <w:fldSimple w:instr=" SEQ Figure \* ARABIC ">
        <w:r>
          <w:t>15</w:t>
        </w:r>
      </w:fldSimple>
      <w:r>
        <w:t>. Patient Builder View</w:t>
      </w:r>
      <w:bookmarkEnd w:id="183"/>
    </w:p>
    <w:p>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t>4.4</w:t>
        </w:r>
      </w:fldSimple>
      <w:r>
        <w:t xml:space="preserve"> provides additional information about the descriptions of the logic highlighting technique based on calculation results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w:t>
      </w:r>
    </w:p>
    <w:p>
      <w:pPr>
        <w:pStyle w:val="Heading2"/>
      </w:pPr>
      <w:bookmarkStart w:id="184" w:name="_Toc467271971"/>
      <w:r>
        <w:t>Building a Synthetic Patient</w:t>
      </w:r>
      <w:bookmarkEnd w:id="184"/>
    </w:p>
    <w:p>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r>
        <w:t xml:space="preserve">Figure </w:t>
      </w:r>
      <w:r>
        <w:rPr>
          <w:noProof/>
        </w:rPr>
        <w:t>15</w:t>
      </w:r>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
        <w:t xml:space="preserve">Note that in </w:t>
      </w:r>
      <w:fldSimple w:instr=" REF _Ref440364143  ">
        <w:r>
          <w:t xml:space="preserve">Figure </w:t>
        </w:r>
        <w:r>
          <w:rPr>
            <w:noProof/>
          </w:rPr>
          <w:t>15</w:t>
        </w:r>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r>
          <w:t xml:space="preserve">Figure </w:t>
        </w:r>
        <w:r>
          <w:rPr>
            <w:noProof/>
          </w:rPr>
          <w:t>16</w:t>
        </w:r>
      </w:fldSimple>
      <w:r>
        <w:t>.</w:t>
      </w:r>
    </w:p>
    <w:p>
      <w:pPr>
        <w:pStyle w:val="Figure"/>
        <w:rPr>
          <w:b w:val="0"/>
        </w:rPr>
      </w:pPr>
      <w:r>
        <w:rPr>
          <w:noProof/>
        </w:rPr>
        <w:lastRenderedPageBreak/>
        <w:drawing>
          <wp:inline distT="0" distB="0" distL="0" distR="0">
            <wp:extent cx="3344633" cy="1177409"/>
            <wp:effectExtent l="0" t="0" r="8255" b="0"/>
            <wp:docPr id="43" name="Picture 43"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pPr>
        <w:pStyle w:val="FigureCaption"/>
      </w:pPr>
      <w:bookmarkStart w:id="185" w:name="_Toc467272006"/>
      <w:r>
        <w:t xml:space="preserve">Figure </w:t>
      </w:r>
      <w:fldSimple w:instr=" SEQ Figure \* ARABIC ">
        <w:r>
          <w:t>16</w:t>
        </w:r>
      </w:fldSimple>
      <w:r>
        <w:t>. Continuous Variable Measures Expected Populations</w:t>
      </w:r>
      <w:bookmarkEnd w:id="185"/>
    </w:p>
    <w:p>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pPr>
        <w:pStyle w:val="Heading2"/>
      </w:pPr>
      <w:bookmarkStart w:id="186" w:name="_Toc467271972"/>
      <w:r>
        <w:t>Building the Patient History</w:t>
      </w:r>
      <w:bookmarkEnd w:id="186"/>
    </w:p>
    <w:p>
      <w:fldSimple w:instr=" REF _Ref440365146  ">
        <w:r>
          <w:t xml:space="preserve">Figure </w:t>
        </w:r>
        <w:r>
          <w:rPr>
            <w:noProof/>
          </w:rPr>
          <w:t>17</w:t>
        </w:r>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17</w:t>
        </w:r>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
        <w:t xml:space="preserve">The following UI elements are shown in </w:t>
      </w:r>
      <w:fldSimple w:instr=" REF _Ref440365146  ">
        <w:r>
          <w:t xml:space="preserve">Figure </w:t>
        </w:r>
        <w:r>
          <w:rPr>
            <w:noProof/>
          </w:rPr>
          <w:t>17</w:t>
        </w:r>
      </w:fldSimple>
      <w:r>
        <w:t>:</w:t>
      </w:r>
    </w:p>
    <w:p>
      <w:pPr>
        <w:pStyle w:val="NumberedList"/>
        <w:numPr>
          <w:ilvl w:val="0"/>
          <w:numId w:val="44"/>
        </w:numPr>
      </w:pPr>
      <w:r>
        <w:t>Elements Section – Contains QDM elements that the user can add to the patient history.</w:t>
      </w:r>
    </w:p>
    <w:p>
      <w:pPr>
        <w:pStyle w:val="NumberedList"/>
        <w:numPr>
          <w:ilvl w:val="0"/>
          <w:numId w:val="44"/>
        </w:numPr>
      </w:pPr>
      <w:r>
        <w:t>QDM Element – Shows a condensed summary of a QDM element.</w:t>
      </w:r>
    </w:p>
    <w:p>
      <w:pPr>
        <w:pStyle w:val="NumberedList"/>
        <w:numPr>
          <w:ilvl w:val="0"/>
          <w:numId w:val="44"/>
        </w:numPr>
      </w:pPr>
      <w:r>
        <w:t>Expand/Collapse Details – Allows hiding or expanding the details of an element.</w:t>
      </w:r>
    </w:p>
    <w:p>
      <w:pPr>
        <w:pStyle w:val="NumberedList"/>
        <w:numPr>
          <w:ilvl w:val="0"/>
          <w:numId w:val="44"/>
        </w:numPr>
      </w:pPr>
      <w:r>
        <w:t>Start Date/Time – Allows setting the start date/time for an element.</w:t>
      </w:r>
    </w:p>
    <w:p>
      <w:pPr>
        <w:pStyle w:val="NumberedList"/>
        <w:numPr>
          <w:ilvl w:val="0"/>
          <w:numId w:val="44"/>
        </w:numPr>
      </w:pPr>
      <w:r>
        <w:t>End Date/Time – Allows setting the end date/time for an element. The checkbox allows specifying that the end date/time is undefined (ongoing event).</w:t>
      </w:r>
    </w:p>
    <w:p>
      <w:pPr>
        <w:pStyle w:val="NumberedList"/>
        <w:numPr>
          <w:ilvl w:val="0"/>
          <w:numId w:val="44"/>
        </w:numPr>
      </w:pPr>
      <w:r>
        <w:t>Codes Section – Allows adding codes to the element. Note that Bonnie will automatically find an appropriate code and add it.</w:t>
      </w:r>
    </w:p>
    <w:p>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pPr>
        <w:pStyle w:val="NumberedList"/>
        <w:numPr>
          <w:ilvl w:val="0"/>
          <w:numId w:val="44"/>
        </w:numPr>
      </w:pPr>
      <w:r>
        <w:t>Fields Section – Allows adding fields to the element (i.e., ordinality).</w:t>
      </w:r>
    </w:p>
    <w:p>
      <w:pPr>
        <w:pStyle w:val="NumberedList"/>
        <w:numPr>
          <w:ilvl w:val="0"/>
          <w:numId w:val="44"/>
        </w:numPr>
      </w:pPr>
      <w:r>
        <w:t>Negation Section – Allows indicating that the element is not done with a reason.</w:t>
      </w:r>
    </w:p>
    <w:p>
      <w:pPr>
        <w:pStyle w:val="NumberedList"/>
        <w:numPr>
          <w:ilvl w:val="0"/>
          <w:numId w:val="44"/>
        </w:numPr>
        <w:spacing w:after="240"/>
      </w:pPr>
      <w:r>
        <w:t>Delete Button – Allows deleting an element from the patient history.</w:t>
      </w:r>
    </w:p>
    <w:p>
      <w:pPr>
        <w:pStyle w:val="Figure"/>
        <w:rPr>
          <w:b w:val="0"/>
        </w:rPr>
      </w:pPr>
      <w:r>
        <w:rPr>
          <w:noProof/>
        </w:rPr>
        <w:lastRenderedPageBreak/>
        <w:drawing>
          <wp:inline distT="0" distB="0" distL="0" distR="0">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pPr>
        <w:pStyle w:val="FigureCaption"/>
      </w:pPr>
      <w:bookmarkStart w:id="187" w:name="_Ref440365146"/>
      <w:bookmarkStart w:id="188" w:name="_Toc467272007"/>
      <w:r>
        <w:t xml:space="preserve">Figure </w:t>
      </w:r>
      <w:fldSimple w:instr=" SEQ Figure \* ARABIC ">
        <w:r>
          <w:t>17</w:t>
        </w:r>
      </w:fldSimple>
      <w:bookmarkEnd w:id="187"/>
      <w:r>
        <w:t>. Building Patient History, including Edit Clinical Element View</w:t>
      </w:r>
      <w:bookmarkEnd w:id="188"/>
    </w:p>
    <w:p>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
        <w:t xml:space="preserve">Several fields in the Edit Clinical Element View can be edited for an event in the patient history using the controls shown in </w:t>
      </w:r>
      <w:fldSimple w:instr=" REF _Ref440365146  ">
        <w:r>
          <w:t xml:space="preserve">Figure </w:t>
        </w:r>
        <w:r>
          <w:rPr>
            <w:noProof/>
          </w:rPr>
          <w:t>17</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pPr>
        <w:pStyle w:val="Heading3"/>
      </w:pPr>
      <w:bookmarkStart w:id="189" w:name="_Toc467271973"/>
      <w:r>
        <w:t>Patient History Items that Fulfill Past Items</w:t>
      </w:r>
      <w:bookmarkEnd w:id="189"/>
    </w:p>
    <w:p>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r>
          <w:t xml:space="preserve">Figure </w:t>
        </w:r>
        <w:r>
          <w:rPr>
            <w:noProof/>
          </w:rPr>
          <w:t>18</w:t>
        </w:r>
      </w:fldSimple>
      <w:r>
        <w:t>.</w:t>
      </w:r>
    </w:p>
    <w:p>
      <w:pPr>
        <w:pStyle w:val="Figure"/>
        <w:rPr>
          <w:b w:val="0"/>
        </w:rPr>
      </w:pPr>
      <w:r>
        <w:rPr>
          <w:noProof/>
        </w:rPr>
        <w:drawing>
          <wp:inline distT="0" distB="0" distL="0" distR="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pPr>
      <w:bookmarkStart w:id="190" w:name="_Ref440365324"/>
      <w:bookmarkStart w:id="191" w:name="_Toc467272008"/>
      <w:r>
        <w:t xml:space="preserve">Figure </w:t>
      </w:r>
      <w:fldSimple w:instr=" SEQ Figure \* ARABIC ">
        <w:r>
          <w:t>18</w:t>
        </w:r>
      </w:fldSimple>
      <w:bookmarkEnd w:id="190"/>
      <w:r>
        <w:t>. References Section of the Patient History Builder</w:t>
      </w:r>
      <w:bookmarkEnd w:id="191"/>
    </w:p>
    <w:p>
      <w:pPr>
        <w:pStyle w:val="Heading3"/>
      </w:pPr>
      <w:bookmarkStart w:id="192" w:name="_Toc467271974"/>
      <w:r>
        <w:t>Representing a Cumulative Medication Duration</w:t>
      </w:r>
      <w:bookmarkEnd w:id="192"/>
    </w:p>
    <w:p>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19</w:t>
        </w:r>
      </w:fldSimple>
      <w:r>
        <w:rPr>
          <w:noProof/>
        </w:rPr>
        <w:t>.</w:t>
      </w:r>
      <w:r>
        <w:t xml:space="preserve"> In this example, a prescription is specified as 10mg. This represents a single dosage of the medication. The regimen is set to 1 day, meaning that the patient takes a single dose once per day.</w:t>
      </w:r>
    </w:p>
    <w:p>
      <w:pPr>
        <w:pStyle w:val="Figure"/>
        <w:rPr>
          <w:b w:val="0"/>
        </w:rPr>
      </w:pPr>
      <w:r>
        <w:rPr>
          <w:noProof/>
        </w:rPr>
        <w:lastRenderedPageBreak/>
        <w:drawing>
          <wp:inline distT="0" distB="0" distL="0" distR="0">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pPr>
        <w:pStyle w:val="FigureCaption"/>
      </w:pPr>
      <w:bookmarkStart w:id="193" w:name="_Ref440365366"/>
      <w:bookmarkStart w:id="194" w:name="_Toc467272009"/>
      <w:r>
        <w:t xml:space="preserve">Figure </w:t>
      </w:r>
      <w:fldSimple w:instr=" SEQ Figure \* ARABIC ">
        <w:r>
          <w:t>19</w:t>
        </w:r>
      </w:fldSimple>
      <w:bookmarkEnd w:id="193"/>
      <w:r>
        <w:t xml:space="preserve">. </w:t>
      </w:r>
      <w:bookmarkStart w:id="195" w:name="_Toc439154848"/>
      <w:r>
        <w:t>Editing a Medication</w:t>
      </w:r>
      <w:bookmarkEnd w:id="194"/>
      <w:bookmarkEnd w:id="195"/>
    </w:p>
    <w:p>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
        <w:t>These steps lead to a CMD of 90 days. Additional prescriptions can easily be added by pressing the plus-sign button again: once more brings the total to 180 days, twice more to 270 days, and so on.</w:t>
      </w:r>
    </w:p>
    <w:p>
      <w:pPr>
        <w:pStyle w:val="Heading2"/>
      </w:pPr>
      <w:bookmarkStart w:id="196" w:name="_Toc467271975"/>
      <w:r>
        <w:t>Incremental Calculation</w:t>
      </w:r>
      <w:bookmarkEnd w:id="196"/>
    </w:p>
    <w:p>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
        <w:t xml:space="preserve">The logic section continuously displays the results of calculating the patient against the measure by means of the logic highlighting described in </w:t>
      </w:r>
      <w:fldSimple w:instr=" REF _Ref459100814  ">
        <w:r>
          <w:t xml:space="preserve">Figure </w:t>
        </w:r>
        <w:r>
          <w:rPr>
            <w:noProof/>
          </w:rPr>
          <w:t>13</w:t>
        </w:r>
      </w:fldSimple>
      <w:r>
        <w:t xml:space="preserve"> and </w:t>
      </w:r>
      <w:fldSimple w:instr=" REF _Ref459100823  ">
        <w:r>
          <w:t xml:space="preserve">Figure </w:t>
        </w:r>
        <w:r>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pPr>
        <w:pStyle w:val="Heading2"/>
      </w:pPr>
      <w:bookmarkStart w:id="197" w:name="_Toc467271976"/>
      <w:r>
        <w:t>Outdated Code Sets</w:t>
      </w:r>
      <w:bookmarkEnd w:id="197"/>
    </w:p>
    <w:p>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t xml:space="preserve">Figure </w:t>
        </w:r>
        <w:r>
          <w:rPr>
            <w:noProof/>
          </w:rPr>
          <w:t>20</w:t>
        </w:r>
      </w:fldSimple>
      <w:r>
        <w:t>.</w:t>
      </w:r>
    </w:p>
    <w:p>
      <w:pPr>
        <w:pStyle w:val="Figure"/>
        <w:rPr>
          <w:b w:val="0"/>
        </w:rPr>
      </w:pPr>
      <w:r>
        <w:rPr>
          <w:noProof/>
        </w:rPr>
        <w:drawing>
          <wp:inline distT="0" distB="0" distL="0" distR="0">
            <wp:extent cx="5861304" cy="1984248"/>
            <wp:effectExtent l="0" t="0" r="6350" b="0"/>
            <wp:docPr id="36" name="Picture 36" descr="Figure 20 displays the warning message of an error ifor outdated patient codes."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spacing w:before="0" w:after="120"/>
      </w:pPr>
      <w:bookmarkStart w:id="198" w:name="_Ref440186626"/>
      <w:bookmarkStart w:id="199" w:name="_Toc467272010"/>
      <w:r>
        <w:t xml:space="preserve">Figure </w:t>
      </w:r>
      <w:fldSimple w:instr=" SEQ Figure \* ARABIC ">
        <w:r>
          <w:t>20</w:t>
        </w:r>
      </w:fldSimple>
      <w:bookmarkEnd w:id="198"/>
      <w:r>
        <w:t>. Error Message for Outdated Patient Codes</w:t>
      </w:r>
      <w:bookmarkEnd w:id="199"/>
    </w:p>
    <w:p/>
    <w:p>
      <w:pPr>
        <w:sectPr>
          <w:headerReference w:type="first" r:id="rId50"/>
          <w:footerReference w:type="first" r:id="rId51"/>
          <w:pgSz w:w="12240" w:h="15840" w:code="1"/>
          <w:pgMar w:top="1440" w:right="1440" w:bottom="1440" w:left="1440" w:header="504" w:footer="504" w:gutter="0"/>
          <w:cols w:space="720"/>
          <w:titlePg/>
          <w:docGrid w:linePitch="360"/>
        </w:sectPr>
      </w:pPr>
    </w:p>
    <w:p>
      <w:pPr>
        <w:pStyle w:val="Heading1"/>
      </w:pPr>
      <w:bookmarkStart w:id="200" w:name="_Ref464544845"/>
      <w:bookmarkStart w:id="201" w:name="_Ref464544871"/>
      <w:bookmarkStart w:id="202" w:name="_Toc467271977"/>
      <w:r>
        <w:lastRenderedPageBreak/>
        <w:t>Patient Dashboard</w:t>
      </w:r>
      <w:bookmarkEnd w:id="200"/>
      <w:bookmarkEnd w:id="201"/>
      <w:bookmarkEnd w:id="202"/>
    </w:p>
    <w:p>
      <w:pPr>
        <w:pStyle w:val="Heading2"/>
      </w:pPr>
      <w:bookmarkStart w:id="203" w:name="_Toc467271978"/>
      <w:r>
        <w:t>Overview</w:t>
      </w:r>
      <w:bookmarkEnd w:id="203"/>
    </w:p>
    <w:p>
      <w:r>
        <w:t>The Patient Dashboard, shown in Figure 21,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
        <w:t xml:space="preserve">The Patient Dashboard contains the following UI elements (as indicated by their item numbers in </w:t>
      </w:r>
      <w:r>
        <w:fldChar w:fldCharType="begin"/>
      </w:r>
      <w:r>
        <w:instrText xml:space="preserve"> REF _Ref459203837 \h  \* MERGEFORMAT </w:instrText>
      </w:r>
      <w:r>
        <w:fldChar w:fldCharType="separate"/>
      </w:r>
      <w:r>
        <w:t>Figure 21</w:t>
      </w:r>
      <w:r>
        <w:fldChar w:fldCharType="end"/>
      </w:r>
      <w:r>
        <w:t>):</w:t>
      </w:r>
    </w:p>
    <w:p>
      <w:pPr>
        <w:pStyle w:val="NumberedList"/>
        <w:numPr>
          <w:ilvl w:val="0"/>
          <w:numId w:val="48"/>
        </w:numPr>
      </w:pPr>
      <w:r>
        <w:t>CMS ID – Displays the CMS ID for the measure.</w:t>
      </w:r>
    </w:p>
    <w:p>
      <w:pPr>
        <w:pStyle w:val="NumberedList"/>
        <w:numPr>
          <w:ilvl w:val="0"/>
          <w:numId w:val="48"/>
        </w:numPr>
      </w:pPr>
      <w:r>
        <w:t>Measure Subpopulations or Stratifications – Allows access to different subpopulations or stratifications in the measure.</w:t>
      </w:r>
    </w:p>
    <w:p>
      <w:pPr>
        <w:pStyle w:val="NumberedList"/>
        <w:numPr>
          <w:ilvl w:val="0"/>
          <w:numId w:val="48"/>
        </w:numPr>
      </w:pPr>
      <w:r>
        <w:t>Create Patient – Allows the creation of a new patient in a Patient Builder view (</w:t>
      </w:r>
      <w:r>
        <w:fldChar w:fldCharType="begin"/>
      </w:r>
      <w:r>
        <w:instrText xml:space="preserve"> REF _Ref440364143 \h </w:instrText>
      </w:r>
      <w:r>
        <w:fldChar w:fldCharType="separate"/>
      </w:r>
      <w:r>
        <w:t>Figure </w:t>
      </w:r>
      <w:r>
        <w:rPr>
          <w:noProof/>
        </w:rPr>
        <w:t>15</w:t>
      </w:r>
      <w:r>
        <w:fldChar w:fldCharType="end"/>
      </w:r>
      <w:r>
        <w:t>).</w:t>
      </w:r>
    </w:p>
    <w:p>
      <w:pPr>
        <w:pStyle w:val="NumberedList"/>
        <w:numPr>
          <w:ilvl w:val="0"/>
          <w:numId w:val="48"/>
        </w:numPr>
      </w:pPr>
      <w:r>
        <w:t>Population Navigation – Allows a user to jump to a particular population to easily view the logic contained in that population.</w:t>
      </w:r>
    </w:p>
    <w:p>
      <w:pPr>
        <w:pStyle w:val="NumberedList"/>
        <w:numPr>
          <w:ilvl w:val="0"/>
          <w:numId w:val="48"/>
        </w:numPr>
      </w:pPr>
      <w:r>
        <w:t>Options – Contains options for the patient, including inline editing, modal editing, and deletion.</w:t>
      </w:r>
    </w:p>
    <w:p>
      <w:pPr>
        <w:pStyle w:val="NumberedList"/>
        <w:numPr>
          <w:ilvl w:val="0"/>
          <w:numId w:val="48"/>
        </w:numPr>
      </w:pPr>
      <w:r>
        <w:t>Result – Shows the calculation result for a particular patient.</w:t>
      </w:r>
    </w:p>
    <w:p>
      <w:pPr>
        <w:pStyle w:val="NumberedList"/>
        <w:numPr>
          <w:ilvl w:val="0"/>
          <w:numId w:val="48"/>
        </w:numPr>
      </w:pPr>
      <w:r>
        <w:t>Actual – Shows the actual results for each patient. If there is a discrepancy between the actual result and the expected result, this is highlighted using a red outline.</w:t>
      </w:r>
    </w:p>
    <w:p>
      <w:pPr>
        <w:pStyle w:val="NumberedList"/>
        <w:numPr>
          <w:ilvl w:val="0"/>
          <w:numId w:val="48"/>
        </w:numPr>
      </w:pPr>
      <w:r>
        <w:t>Expected – Shows the expected results for each patient.</w:t>
      </w:r>
    </w:p>
    <w:p>
      <w:pPr>
        <w:pStyle w:val="NumberedList"/>
        <w:numPr>
          <w:ilvl w:val="0"/>
          <w:numId w:val="48"/>
        </w:numPr>
      </w:pPr>
      <w:r>
        <w:t>Measure Details – Allows the user to navigate to the Measure View page.</w:t>
      </w:r>
    </w:p>
    <w:p>
      <w:pPr>
        <w:pStyle w:val="NumberedList"/>
        <w:numPr>
          <w:ilvl w:val="0"/>
          <w:numId w:val="48"/>
        </w:numPr>
      </w:pPr>
      <w:r>
        <w:t>Patient Dashboard – Allows the user to navigate to the Patient Dashboard page.</w:t>
      </w:r>
    </w:p>
    <w:p>
      <w:pPr>
        <w:pStyle w:val="NumberedList"/>
        <w:numPr>
          <w:ilvl w:val="0"/>
          <w:numId w:val="48"/>
        </w:numPr>
      </w:pPr>
      <w:r>
        <w:t>View patient table without scrolling features – Shows a 508-compliant version of the table.</w:t>
      </w:r>
    </w:p>
    <w:p>
      <w:pPr>
        <w:pStyle w:val="NumberedList"/>
        <w:numPr>
          <w:ilvl w:val="0"/>
          <w:numId w:val="48"/>
        </w:numPr>
      </w:pPr>
      <w:r>
        <w:t>Search – Allows a user to filter the list of patients displayed.</w:t>
      </w:r>
    </w:p>
    <w:p>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6445"/>
                    </a:xfrm>
                    <a:prstGeom prst="rect">
                      <a:avLst/>
                    </a:prstGeom>
                    <a:ln>
                      <a:solidFill>
                        <a:schemeClr val="tx1"/>
                      </a:solidFill>
                    </a:ln>
                  </pic:spPr>
                </pic:pic>
              </a:graphicData>
            </a:graphic>
          </wp:inline>
        </w:drawing>
      </w:r>
    </w:p>
    <w:p>
      <w:pPr>
        <w:pStyle w:val="FigureCaption"/>
      </w:pPr>
      <w:bookmarkStart w:id="204" w:name="_Ref459203837"/>
      <w:bookmarkStart w:id="205" w:name="_Toc467272011"/>
      <w:r>
        <w:t xml:space="preserve">Figure </w:t>
      </w:r>
      <w:fldSimple w:instr=" SEQ Figure \* ARABIC ">
        <w:r>
          <w:rPr>
            <w:noProof/>
          </w:rPr>
          <w:t>21</w:t>
        </w:r>
      </w:fldSimple>
      <w:bookmarkEnd w:id="204"/>
      <w:r>
        <w:rPr>
          <w:bCs/>
        </w:rPr>
        <w:t>.</w:t>
      </w:r>
      <w:r>
        <w:t xml:space="preserve"> Patient Dashboard View</w:t>
      </w:r>
      <w:bookmarkEnd w:id="205"/>
    </w:p>
    <w:p>
      <w:r>
        <w:t xml:space="preserve">The Patient Dashboard’s logic sections, as shown in </w:t>
      </w:r>
      <w:r>
        <w:fldChar w:fldCharType="begin"/>
      </w:r>
      <w:r>
        <w:instrText xml:space="preserve"> REF _Ref459206432 \h  \* MERGEFORMAT </w:instrText>
      </w:r>
      <w:r>
        <w:fldChar w:fldCharType="separate"/>
      </w:r>
      <w:r>
        <w:t>Figure 22</w:t>
      </w:r>
      <w:r>
        <w:fldChar w:fldCharType="end"/>
      </w:r>
      <w:r>
        <w:t>, contain the following UI elements:</w:t>
      </w:r>
    </w:p>
    <w:p>
      <w:pPr>
        <w:pStyle w:val="NumberedList"/>
        <w:numPr>
          <w:ilvl w:val="0"/>
          <w:numId w:val="58"/>
        </w:numPr>
      </w:pPr>
      <w:r>
        <w:t>Population Header – Displays the population name for that section of logic.</w:t>
      </w:r>
    </w:p>
    <w:p>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pPr>
        <w:pStyle w:val="NumberedList"/>
        <w:numPr>
          <w:ilvl w:val="0"/>
          <w:numId w:val="58"/>
        </w:numPr>
      </w:pPr>
      <w:r>
        <w:t>Logic Scrollbar – Allows a user to scroll to see the complete text of a logic if it is too long.</w:t>
      </w:r>
    </w:p>
    <w:p>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pPr>
        <w:pStyle w:val="NumberedList"/>
        <w:numPr>
          <w:ilvl w:val="0"/>
          <w:numId w:val="58"/>
        </w:numPr>
      </w:pPr>
      <w:r>
        <w:t>Detail View – The details displayed in this view are described in item #4.</w:t>
      </w:r>
    </w:p>
    <w:p>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9280" cy="3803904"/>
                    </a:xfrm>
                    <a:prstGeom prst="rect">
                      <a:avLst/>
                    </a:prstGeom>
                    <a:ln>
                      <a:solidFill>
                        <a:schemeClr val="tx1"/>
                      </a:solidFill>
                    </a:ln>
                  </pic:spPr>
                </pic:pic>
              </a:graphicData>
            </a:graphic>
          </wp:inline>
        </w:drawing>
      </w:r>
    </w:p>
    <w:p>
      <w:pPr>
        <w:pStyle w:val="FigureCaption"/>
      </w:pPr>
      <w:bookmarkStart w:id="206" w:name="_Ref459206432"/>
      <w:bookmarkStart w:id="207" w:name="_Toc467272012"/>
      <w:r>
        <w:t xml:space="preserve">Figure </w:t>
      </w:r>
      <w:fldSimple w:instr=" SEQ Figure \* ARABIC ">
        <w:r>
          <w:rPr>
            <w:noProof/>
          </w:rPr>
          <w:t>22</w:t>
        </w:r>
      </w:fldSimple>
      <w:bookmarkEnd w:id="206"/>
      <w:r>
        <w:rPr>
          <w:bCs/>
        </w:rPr>
        <w:t>.</w:t>
      </w:r>
      <w:r>
        <w:t xml:space="preserve"> Patient Dashboard Logic</w:t>
      </w:r>
      <w:bookmarkEnd w:id="207"/>
    </w:p>
    <w:p>
      <w:pPr>
        <w:pStyle w:val="Heading2"/>
      </w:pPr>
      <w:bookmarkStart w:id="208" w:name="_Toc467271979"/>
      <w:r>
        <w:t>Adding and Editing Patients</w:t>
      </w:r>
      <w:bookmarkEnd w:id="208"/>
    </w:p>
    <w:p>
      <w:r>
        <w:t>The Patient Dashboard (</w:t>
      </w:r>
      <w:r>
        <w:fldChar w:fldCharType="begin"/>
      </w:r>
      <w:r>
        <w:instrText xml:space="preserve"> REF _Ref459203837 \h </w:instrText>
      </w:r>
      <w:r>
        <w:fldChar w:fldCharType="separate"/>
      </w:r>
      <w:r>
        <w:t xml:space="preserve">Figure </w:t>
      </w:r>
      <w:r>
        <w:rPr>
          <w:noProof/>
        </w:rPr>
        <w:t>21</w:t>
      </w:r>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r>
        <w:t>Figure 21</w:t>
      </w:r>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
        <w:t xml:space="preserve">To perform inline editing of a patient, click the gear button (item #5 in </w:t>
      </w:r>
      <w:r>
        <w:fldChar w:fldCharType="begin"/>
      </w:r>
      <w:r>
        <w:instrText xml:space="preserve"> REF _Ref459203837 \h  \* MERGEFORMAT </w:instrText>
      </w:r>
      <w:r>
        <w:fldChar w:fldCharType="separate"/>
      </w:r>
      <w:r>
        <w:t>Figure 21</w:t>
      </w:r>
      <w:r>
        <w:fldChar w:fldCharType="end"/>
      </w:r>
      <w:r>
        <w:t xml:space="preserve">) and then click the “EDIT” button as shown in </w:t>
      </w:r>
      <w:r>
        <w:fldChar w:fldCharType="begin"/>
      </w:r>
      <w:r>
        <w:instrText xml:space="preserve"> REF _Ref464564187 \h </w:instrText>
      </w:r>
      <w:r>
        <w:fldChar w:fldCharType="separate"/>
      </w:r>
      <w:r>
        <w:t xml:space="preserve">Figure </w:t>
      </w:r>
      <w:r>
        <w:rPr>
          <w:noProof/>
        </w:rPr>
        <w:t>23</w:t>
      </w:r>
      <w:r>
        <w:fldChar w:fldCharType="end"/>
      </w:r>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r>
        <w:t xml:space="preserve">Figure </w:t>
      </w:r>
      <w:r>
        <w:rPr>
          <w:noProof/>
        </w:rPr>
        <w:t>24</w:t>
      </w:r>
      <w:r>
        <w:fldChar w:fldCharType="end"/>
      </w:r>
      <w:r>
        <w:t>.</w:t>
      </w:r>
    </w:p>
    <w:p>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0173" cy="461453"/>
                    </a:xfrm>
                    <a:prstGeom prst="rect">
                      <a:avLst/>
                    </a:prstGeom>
                  </pic:spPr>
                </pic:pic>
              </a:graphicData>
            </a:graphic>
          </wp:inline>
        </w:drawing>
      </w:r>
    </w:p>
    <w:p>
      <w:pPr>
        <w:pStyle w:val="FigureCaption"/>
      </w:pPr>
      <w:bookmarkStart w:id="209" w:name="_Toc467272013"/>
      <w:r>
        <w:t xml:space="preserve">Figure </w:t>
      </w:r>
      <w:fldSimple w:instr=" SEQ Figure \* ARABIC ">
        <w:r>
          <w:rPr>
            <w:noProof/>
          </w:rPr>
          <w:t>23</w:t>
        </w:r>
      </w:fldSimple>
      <w:r>
        <w:rPr>
          <w:noProof/>
        </w:rPr>
        <w:t>.</w:t>
      </w:r>
      <w:r>
        <w:t xml:space="preserve"> Patient Dashboard Options</w:t>
      </w:r>
      <w:bookmarkEnd w:id="209"/>
    </w:p>
    <w:p>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1651" cy="451065"/>
                    </a:xfrm>
                    <a:prstGeom prst="rect">
                      <a:avLst/>
                    </a:prstGeom>
                  </pic:spPr>
                </pic:pic>
              </a:graphicData>
            </a:graphic>
          </wp:inline>
        </w:drawing>
      </w:r>
    </w:p>
    <w:p>
      <w:pPr>
        <w:pStyle w:val="FigureCaption"/>
      </w:pPr>
      <w:bookmarkStart w:id="210" w:name="_Ref464564304"/>
      <w:bookmarkStart w:id="211" w:name="_Toc467272014"/>
      <w:r>
        <w:t xml:space="preserve">Figure </w:t>
      </w:r>
      <w:fldSimple w:instr=" SEQ Figure \* ARABIC ">
        <w:r>
          <w:rPr>
            <w:noProof/>
          </w:rPr>
          <w:t>24</w:t>
        </w:r>
      </w:fldSimple>
      <w:bookmarkEnd w:id="210"/>
      <w:r>
        <w:rPr>
          <w:noProof/>
        </w:rPr>
        <w:t>.</w:t>
      </w:r>
      <w:r>
        <w:t xml:space="preserve"> Patient Dashboard Inline Edit</w:t>
      </w:r>
      <w:bookmarkEnd w:id="211"/>
    </w:p>
    <w:p>
      <w:r>
        <w:lastRenderedPageBreak/>
        <w:t xml:space="preserve">To access the full Patient Builder editing capabilities for a patient, click the “OPEN” button shown in </w:t>
      </w:r>
      <w:r>
        <w:fldChar w:fldCharType="begin"/>
      </w:r>
      <w:r>
        <w:instrText xml:space="preserve"> REF _Ref464564187 \h </w:instrText>
      </w:r>
      <w:r>
        <w:fldChar w:fldCharType="separate"/>
      </w:r>
      <w:r>
        <w:t xml:space="preserve">Figure </w:t>
      </w:r>
      <w:r>
        <w:rPr>
          <w:noProof/>
        </w:rPr>
        <w:t>23</w:t>
      </w:r>
      <w:r>
        <w:fldChar w:fldCharType="end"/>
      </w:r>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p>
      <w:pPr>
        <w:sectPr>
          <w:headerReference w:type="first" r:id="rId56"/>
          <w:footerReference w:type="first" r:id="rId57"/>
          <w:pgSz w:w="12240" w:h="15840" w:code="1"/>
          <w:pgMar w:top="1440" w:right="1440" w:bottom="1440" w:left="1440" w:header="504" w:footer="504" w:gutter="0"/>
          <w:cols w:space="720"/>
          <w:titlePg/>
          <w:docGrid w:linePitch="360"/>
        </w:sectPr>
      </w:pPr>
    </w:p>
    <w:p>
      <w:pPr>
        <w:pStyle w:val="Heading1"/>
      </w:pPr>
      <w:bookmarkStart w:id="212" w:name="_Toc467271980"/>
      <w:r>
        <w:lastRenderedPageBreak/>
        <w:t>CQL Learning Tool</w:t>
      </w:r>
      <w:bookmarkEnd w:id="212"/>
    </w:p>
    <w:p>
      <w:pPr>
        <w:pStyle w:val="Heading2"/>
      </w:pPr>
      <w:bookmarkStart w:id="213" w:name="_Toc467271981"/>
      <w:r>
        <w:t>Overview</w:t>
      </w:r>
      <w:bookmarkEnd w:id="213"/>
    </w:p>
    <w:p>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r>
        <w:fldChar w:fldCharType="begin"/>
      </w:r>
      <w:r>
        <w:instrText xml:space="preserve"> REF _Ref464565758 \h  \* MERGEFORMAT </w:instrText>
      </w:r>
      <w:r>
        <w:fldChar w:fldCharType="separate"/>
      </w:r>
      <w:r>
        <w:t xml:space="preserve">Figure </w:t>
      </w:r>
      <w:r>
        <w:rPr>
          <w:noProof/>
        </w:rPr>
        <w:t>25</w:t>
      </w:r>
      <w:r>
        <w:fldChar w:fldCharType="end"/>
      </w:r>
      <w:r>
        <w:t>. This opens a modal view with a CQL editor and a list of patients included in the measure.</w:t>
      </w:r>
    </w:p>
    <w:p>
      <w:pPr>
        <w:pStyle w:val="Figure"/>
        <w:rPr>
          <w:b w:val="0"/>
        </w:rPr>
      </w:pPr>
      <w:r>
        <w:rPr>
          <w:noProof/>
        </w:rPr>
        <w:drawing>
          <wp:inline distT="0" distB="0" distL="0" distR="0">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456" cy="692193"/>
                    </a:xfrm>
                    <a:prstGeom prst="rect">
                      <a:avLst/>
                    </a:prstGeom>
                  </pic:spPr>
                </pic:pic>
              </a:graphicData>
            </a:graphic>
          </wp:inline>
        </w:drawing>
      </w:r>
    </w:p>
    <w:p>
      <w:pPr>
        <w:pStyle w:val="FigureCaption"/>
      </w:pPr>
      <w:bookmarkStart w:id="214" w:name="_Ref464565758"/>
      <w:bookmarkStart w:id="215" w:name="_Toc467272015"/>
      <w:r>
        <w:t xml:space="preserve">Figure </w:t>
      </w:r>
      <w:fldSimple w:instr=" SEQ Figure \* ARABIC ">
        <w:r>
          <w:rPr>
            <w:noProof/>
          </w:rPr>
          <w:t>25</w:t>
        </w:r>
      </w:fldSimple>
      <w:bookmarkEnd w:id="214"/>
      <w:r>
        <w:rPr>
          <w:noProof/>
        </w:rPr>
        <w:t>.</w:t>
      </w:r>
      <w:r>
        <w:t xml:space="preserve"> Navigating to the CQL Learning Tool</w:t>
      </w:r>
      <w:bookmarkEnd w:id="215"/>
    </w:p>
    <w:p>
      <w:r>
        <w:t xml:space="preserve">The CQL Learning Tool contains the following UI elements (as indicated by their item numbers in </w:t>
      </w:r>
      <w:r>
        <w:fldChar w:fldCharType="begin"/>
      </w:r>
      <w:r>
        <w:instrText xml:space="preserve"> REF _Ref464566022 \h </w:instrText>
      </w:r>
      <w:r>
        <w:fldChar w:fldCharType="separate"/>
      </w:r>
      <w:r>
        <w:t xml:space="preserve">Figure </w:t>
      </w:r>
      <w:r>
        <w:rPr>
          <w:noProof/>
        </w:rPr>
        <w:t>26</w:t>
      </w:r>
      <w:r>
        <w:fldChar w:fldCharType="end"/>
      </w:r>
      <w:r>
        <w:t>):</w:t>
      </w:r>
    </w:p>
    <w:p>
      <w:pPr>
        <w:pStyle w:val="NumberedList"/>
        <w:numPr>
          <w:ilvl w:val="0"/>
          <w:numId w:val="59"/>
        </w:numPr>
      </w:pPr>
      <w:r>
        <w:t>Library – The library name is automatically generated from the name of the measure from which the CQL Learning Tool was launched.</w:t>
      </w:r>
    </w:p>
    <w:p>
      <w:pPr>
        <w:pStyle w:val="NumberedList"/>
      </w:pPr>
      <w:r>
        <w:t>Using QDM – The CQL Learning Tool automatically references the QDM library for use with the CQL code entered into this view.</w:t>
      </w:r>
    </w:p>
    <w:p>
      <w:pPr>
        <w:pStyle w:val="NumberedList"/>
      </w:pPr>
      <w:r>
        <w:t>Valueset – The CQL Learning Tool automatically generates the value sets that are referenced in the measure to facilitate adding CQL logic into this view.</w:t>
      </w:r>
    </w:p>
    <w:p>
      <w:pPr>
        <w:pStyle w:val="NumberedList"/>
      </w:pPr>
      <w:r>
        <w:t>Parameter Measurement Period – The CQL Learning Tool automatically creates the measurement period to match the measurement period used in Bonnie.</w:t>
      </w:r>
    </w:p>
    <w:p>
      <w:pPr>
        <w:pStyle w:val="NumberedList"/>
      </w:pPr>
      <w:r>
        <w:t>Context patient – The CQL Learning Tool automatically adds the “context patient” line to ensure the correct context for the copied-in calculation code.</w:t>
      </w:r>
    </w:p>
    <w:p>
      <w:pPr>
        <w:pStyle w:val="NumberedList"/>
      </w:pPr>
      <w:r>
        <w:t>Enter CQL Here – Any new CQL code should be copied/pasted below this line.</w:t>
      </w:r>
    </w:p>
    <w:p>
      <w:pPr>
        <w:pStyle w:val="NumberedList"/>
      </w:pPr>
      <w:r>
        <w:t>Evaluate – This button executes the CQL code against the patients included in the measure.</w:t>
      </w:r>
    </w:p>
    <w:p>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r>
        <w:t xml:space="preserve">Figure </w:t>
      </w:r>
      <w:r>
        <w:rPr>
          <w:noProof/>
        </w:rPr>
        <w:t>27</w:t>
      </w:r>
      <w:r>
        <w:fldChar w:fldCharType="end"/>
      </w:r>
      <w:r>
        <w:t>).</w:t>
      </w:r>
    </w:p>
    <w:p>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65600"/>
                    </a:xfrm>
                    <a:prstGeom prst="rect">
                      <a:avLst/>
                    </a:prstGeom>
                  </pic:spPr>
                </pic:pic>
              </a:graphicData>
            </a:graphic>
          </wp:inline>
        </w:drawing>
      </w:r>
    </w:p>
    <w:p>
      <w:pPr>
        <w:pStyle w:val="FigureCaption"/>
      </w:pPr>
      <w:bookmarkStart w:id="216" w:name="_Ref464566022"/>
      <w:bookmarkStart w:id="217" w:name="_Toc467272016"/>
      <w:r>
        <w:t xml:space="preserve">Figure </w:t>
      </w:r>
      <w:fldSimple w:instr=" SEQ Figure \* ARABIC ">
        <w:r>
          <w:rPr>
            <w:noProof/>
          </w:rPr>
          <w:t>26</w:t>
        </w:r>
      </w:fldSimple>
      <w:bookmarkEnd w:id="216"/>
      <w:r>
        <w:rPr>
          <w:noProof/>
        </w:rPr>
        <w:t>.</w:t>
      </w:r>
      <w:r>
        <w:t xml:space="preserve"> CQL Learning Tool</w:t>
      </w:r>
      <w:bookmarkEnd w:id="217"/>
    </w:p>
    <w:p>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r>
        <w:t>Figure </w:t>
      </w:r>
      <w:r>
        <w:rPr>
          <w:noProof/>
        </w:rPr>
        <w:t>27</w:t>
      </w:r>
      <w:r>
        <w:fldChar w:fldCharType="end"/>
      </w:r>
      <w:r>
        <w:t>):</w:t>
      </w:r>
    </w:p>
    <w:p>
      <w:pPr>
        <w:pStyle w:val="NumberedList"/>
        <w:numPr>
          <w:ilvl w:val="0"/>
          <w:numId w:val="60"/>
        </w:numPr>
      </w:pPr>
      <w:r>
        <w:t>CQL Logic – CQL logic that was added into the CQL Learning Tool.</w:t>
      </w:r>
    </w:p>
    <w:p>
      <w:pPr>
        <w:pStyle w:val="NumberedList"/>
      </w:pPr>
      <w:r>
        <w:t>Patient Header – After evaluation, each patient header is expandable to show how the patient evaluates against each defined logic statement.</w:t>
      </w:r>
    </w:p>
    <w:p>
      <w:pPr>
        <w:pStyle w:val="NumberedList"/>
      </w:pPr>
      <w:r>
        <w:t>Boolean Evaluation – “In Demographic” is a Boolean logic statement. Its evaluation result is shown as a green check mark to indicate that it evaluated to true, or a red “x” to indicate that it evaluated to false.</w:t>
      </w:r>
    </w:p>
    <w:p>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pPr>
        <w:pStyle w:val="NumberedList"/>
      </w:pPr>
      <w:r>
        <w:t>Logic Error – Errors in the CQL logic are shown in the CQL editor with a red “x” symbol. Hovering the cursor over this symbol will display an error message.</w:t>
      </w:r>
    </w:p>
    <w:p>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85235"/>
                    </a:xfrm>
                    <a:prstGeom prst="rect">
                      <a:avLst/>
                    </a:prstGeom>
                  </pic:spPr>
                </pic:pic>
              </a:graphicData>
            </a:graphic>
          </wp:inline>
        </w:drawing>
      </w:r>
    </w:p>
    <w:p>
      <w:pPr>
        <w:pStyle w:val="FigureCaption"/>
      </w:pPr>
      <w:bookmarkStart w:id="218" w:name="_Ref464567892"/>
      <w:bookmarkStart w:id="219" w:name="_Toc467272017"/>
      <w:r>
        <w:t xml:space="preserve">Figure </w:t>
      </w:r>
      <w:fldSimple w:instr=" SEQ Figure \* ARABIC ">
        <w:r>
          <w:rPr>
            <w:noProof/>
          </w:rPr>
          <w:t>27</w:t>
        </w:r>
      </w:fldSimple>
      <w:bookmarkEnd w:id="218"/>
      <w:r>
        <w:rPr>
          <w:noProof/>
        </w:rPr>
        <w:t>.</w:t>
      </w:r>
      <w:r>
        <w:t xml:space="preserve"> CQL Learning Tool after Evaluation</w:t>
      </w:r>
      <w:bookmarkEnd w:id="219"/>
    </w:p>
    <w:p/>
    <w:p>
      <w:pPr>
        <w:sectPr>
          <w:headerReference w:type="first" r:id="rId61"/>
          <w:footerReference w:type="first" r:id="rId62"/>
          <w:pgSz w:w="12240" w:h="15840" w:code="1"/>
          <w:pgMar w:top="1440" w:right="1440" w:bottom="1440" w:left="1440" w:header="504" w:footer="504" w:gutter="0"/>
          <w:cols w:space="720"/>
          <w:titlePg/>
          <w:docGrid w:linePitch="360"/>
        </w:sectPr>
      </w:pPr>
    </w:p>
    <w:p>
      <w:pPr>
        <w:pStyle w:val="Heading1"/>
      </w:pPr>
      <w:bookmarkStart w:id="220" w:name="_Toc465345893"/>
      <w:bookmarkStart w:id="221" w:name="_Ref459208058"/>
      <w:bookmarkStart w:id="222" w:name="_Ref459208091"/>
      <w:bookmarkStart w:id="223" w:name="_Toc467271982"/>
      <w:bookmarkEnd w:id="220"/>
      <w:r>
        <w:lastRenderedPageBreak/>
        <w:t>Importing Patients from the Patient Bank</w:t>
      </w:r>
      <w:bookmarkEnd w:id="221"/>
      <w:bookmarkEnd w:id="222"/>
      <w:bookmarkEnd w:id="223"/>
    </w:p>
    <w:p>
      <w:pPr>
        <w:pStyle w:val="Heading2"/>
      </w:pPr>
      <w:bookmarkStart w:id="224" w:name="_Toc467271983"/>
      <w:r>
        <w:t>Overview</w:t>
      </w:r>
      <w:bookmarkEnd w:id="224"/>
    </w:p>
    <w:p>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
        <w:t xml:space="preserve">The Patient Bank shown in Figure 28 displays all patients who have been shared across the Bonnie application. The Patient Bank View employs the following UI elements (as indicated by their item numbers in </w:t>
      </w:r>
      <w:fldSimple w:instr=" REF _Ref440368872  ">
        <w:r>
          <w:t xml:space="preserve">Figure </w:t>
        </w:r>
        <w:r>
          <w:rPr>
            <w:noProof/>
          </w:rPr>
          <w:t>28</w:t>
        </w:r>
      </w:fldSimple>
      <w:r>
        <w:t>):</w:t>
      </w:r>
    </w:p>
    <w:p>
      <w:pPr>
        <w:pStyle w:val="NumberedList"/>
        <w:numPr>
          <w:ilvl w:val="0"/>
          <w:numId w:val="45"/>
        </w:numPr>
      </w:pPr>
      <w:r>
        <w:t>Measure Information – Shows the name and description of the measure.</w:t>
      </w:r>
    </w:p>
    <w:p>
      <w:pPr>
        <w:pStyle w:val="NumberedList"/>
        <w:numPr>
          <w:ilvl w:val="0"/>
          <w:numId w:val="45"/>
        </w:numPr>
      </w:pPr>
      <w:r>
        <w:t>Measure Patient Count – Shows the number of patients in the measure.</w:t>
      </w:r>
    </w:p>
    <w:p>
      <w:pPr>
        <w:pStyle w:val="NumberedList"/>
        <w:numPr>
          <w:ilvl w:val="0"/>
          <w:numId w:val="45"/>
        </w:numPr>
      </w:pPr>
      <w:r>
        <w:t>Measure Logic – Shows the coverage of logic.</w:t>
      </w:r>
    </w:p>
    <w:p>
      <w:pPr>
        <w:pStyle w:val="NumberedList"/>
        <w:numPr>
          <w:ilvl w:val="0"/>
          <w:numId w:val="45"/>
        </w:numPr>
      </w:pPr>
      <w:r>
        <w:t>Filters – Allows filtering on the patient results.</w:t>
      </w:r>
    </w:p>
    <w:p>
      <w:pPr>
        <w:pStyle w:val="NumberedList"/>
        <w:numPr>
          <w:ilvl w:val="0"/>
          <w:numId w:val="45"/>
        </w:numPr>
      </w:pPr>
      <w:r>
        <w:t>Result Count – Shows the number of shared patients.</w:t>
      </w:r>
    </w:p>
    <w:p>
      <w:pPr>
        <w:pStyle w:val="NumberedList"/>
        <w:numPr>
          <w:ilvl w:val="0"/>
          <w:numId w:val="45"/>
        </w:numPr>
      </w:pPr>
      <w:r>
        <w:t>Patient Indicator – Indicates whether the patient is already in your measure.</w:t>
      </w:r>
    </w:p>
    <w:p>
      <w:pPr>
        <w:pStyle w:val="NumberedList"/>
        <w:numPr>
          <w:ilvl w:val="0"/>
          <w:numId w:val="45"/>
        </w:numPr>
      </w:pPr>
      <w:r>
        <w:t>Patient Calculation Result – Indicates how the patient calculates against the measure.</w:t>
      </w:r>
    </w:p>
    <w:p>
      <w:pPr>
        <w:pStyle w:val="NumberedList"/>
        <w:numPr>
          <w:ilvl w:val="0"/>
          <w:numId w:val="45"/>
        </w:numPr>
      </w:pPr>
      <w:r>
        <w:t>Selected Patient Count – Shows the number of patients selected by the user.</w:t>
      </w:r>
    </w:p>
    <w:p>
      <w:pPr>
        <w:pStyle w:val="NumberedList"/>
        <w:numPr>
          <w:ilvl w:val="0"/>
          <w:numId w:val="45"/>
        </w:numPr>
      </w:pPr>
      <w:r>
        <w:t>Patient Bank Actions – Allows exporting or cloning of selected patients.</w:t>
      </w:r>
    </w:p>
    <w:p>
      <w:pPr>
        <w:spacing w:before="240"/>
      </w:pPr>
      <w:r>
        <w:t xml:space="preserve">To use the Patient Bank, the user must first navigate to a measure as shown in </w:t>
      </w:r>
      <w:fldSimple w:instr=" REF _Ref440368872 ">
        <w:r>
          <w:t xml:space="preserve">Figure </w:t>
        </w:r>
        <w:r>
          <w:rPr>
            <w:noProof/>
          </w:rPr>
          <w:t>28</w:t>
        </w:r>
      </w:fldSimple>
      <w:r>
        <w:t xml:space="preserve">. From the Measure View (shown in </w:t>
      </w:r>
      <w:fldSimple w:instr=" REF _Ref459100358 ">
        <w:r>
          <w:t xml:space="preserve">Figure </w:t>
        </w:r>
        <w:r>
          <w:rPr>
            <w:noProof/>
          </w:rPr>
          <w:t>10</w:t>
        </w:r>
      </w:fldSimple>
      <w:r>
        <w:t xml:space="preserve">), the user can click the “Patient Actions” button (the gear icon on the upper right, marked as item #7 in </w:t>
      </w:r>
      <w:fldSimple w:instr=" REF _Ref459100358  ">
        <w:r>
          <w:t xml:space="preserve">Figure </w:t>
        </w:r>
        <w:r>
          <w:rPr>
            <w:noProof/>
          </w:rPr>
          <w:t>10</w:t>
        </w:r>
      </w:fldSimple>
      <w:r>
        <w:t>) and then click the “Add Patient Button” icon to access the Patient Bank.</w:t>
      </w:r>
    </w:p>
    <w:p>
      <w:pPr>
        <w:pStyle w:val="Figure"/>
        <w:rPr>
          <w:b w:val="0"/>
        </w:rPr>
      </w:pPr>
      <w:r>
        <w:rPr>
          <w:noProof/>
        </w:rPr>
        <w:lastRenderedPageBreak/>
        <w:drawing>
          <wp:inline distT="0" distB="0" distL="0" distR="0">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pPr>
        <w:pStyle w:val="FigureCaption"/>
      </w:pPr>
      <w:bookmarkStart w:id="225" w:name="_Ref440368872"/>
      <w:bookmarkStart w:id="226" w:name="_Toc467272018"/>
      <w:r>
        <w:t xml:space="preserve">Figure </w:t>
      </w:r>
      <w:fldSimple w:instr=" SEQ Figure \* ARABIC ">
        <w:r>
          <w:t>28</w:t>
        </w:r>
      </w:fldSimple>
      <w:bookmarkEnd w:id="225"/>
      <w:r>
        <w:t xml:space="preserve">. </w:t>
      </w:r>
      <w:bookmarkStart w:id="227" w:name="_Toc439154849"/>
      <w:r>
        <w:t>Patient Bank View</w:t>
      </w:r>
      <w:bookmarkEnd w:id="226"/>
      <w:bookmarkEnd w:id="227"/>
    </w:p>
    <w:p>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28</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29</w:t>
        </w:r>
      </w:fldSimple>
      <w:r>
        <w:rPr>
          <w:noProof/>
        </w:rPr>
        <w:t>,</w:t>
      </w:r>
      <w:r>
        <w:t xml:space="preserve"> which already belongs to the user.</w:t>
      </w:r>
    </w:p>
    <w:p>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pPr>
        <w:pStyle w:val="FigureCaption"/>
      </w:pPr>
      <w:bookmarkStart w:id="228" w:name="_Ref440369057"/>
      <w:bookmarkStart w:id="229" w:name="_Toc467272019"/>
      <w:r>
        <w:t xml:space="preserve">Figure </w:t>
      </w:r>
      <w:fldSimple w:instr=" SEQ Figure \* ARABIC ">
        <w:r>
          <w:rPr>
            <w:noProof/>
          </w:rPr>
          <w:t>29</w:t>
        </w:r>
      </w:fldSimple>
      <w:bookmarkEnd w:id="228"/>
      <w:r>
        <w:t>. Patient Listing Example</w:t>
      </w:r>
      <w:bookmarkEnd w:id="229"/>
    </w:p>
    <w:p>
      <w:pPr>
        <w:pStyle w:val="Heading2"/>
      </w:pPr>
      <w:bookmarkStart w:id="230" w:name="_Toc467271984"/>
      <w:r>
        <w:lastRenderedPageBreak/>
        <w:t>Filtering Patient Results</w:t>
      </w:r>
      <w:bookmarkEnd w:id="230"/>
    </w:p>
    <w:p>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pPr>
        <w:pStyle w:val="NumberedList"/>
        <w:numPr>
          <w:ilvl w:val="0"/>
          <w:numId w:val="46"/>
        </w:numPr>
      </w:pPr>
      <w:r>
        <w:t>Population – Allows filtering results by whether the patient passes for a selected population for the currently displayed stratification.</w:t>
      </w:r>
    </w:p>
    <w:p>
      <w:pPr>
        <w:pStyle w:val="NumberedList"/>
        <w:numPr>
          <w:ilvl w:val="0"/>
          <w:numId w:val="46"/>
        </w:numPr>
      </w:pPr>
      <w:r>
        <w:t>Measure – Allows filtering results by measure. The user can enter all or part of a measure code (for example, “CMS142v2” or “142” will both work).</w:t>
      </w:r>
    </w:p>
    <w:p>
      <w:pPr>
        <w:pStyle w:val="NumberedList"/>
        <w:numPr>
          <w:ilvl w:val="0"/>
          <w:numId w:val="46"/>
        </w:numPr>
      </w:pPr>
      <w:r>
        <w:t>Associated User Account – Allows filtering results by user. The user can enter all or part of an email address associated with a Bonnie user account.</w:t>
      </w:r>
    </w:p>
    <w:p>
      <w:pPr>
        <w:spacing w:before="240" w:after="240"/>
      </w:pPr>
      <w:fldSimple w:instr=" REF _Ref459098959  ">
        <w:r>
          <w:t xml:space="preserve">Figure </w:t>
        </w:r>
        <w:r>
          <w:rPr>
            <w:noProof/>
          </w:rPr>
          <w:t>30</w:t>
        </w:r>
      </w:fldSimple>
      <w:r>
        <w:t xml:space="preserve"> shows the Patient Bank filtered by whether the patient passes for the measure’s numerator for the stratification named “Population 1.” This example has one result.</w:t>
      </w:r>
    </w:p>
    <w:p>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pPr>
      <w:bookmarkStart w:id="231" w:name="_Ref459098959"/>
      <w:bookmarkStart w:id="232" w:name="_Toc467272020"/>
      <w:r>
        <w:t xml:space="preserve">Figure </w:t>
      </w:r>
      <w:fldSimple w:instr=" SEQ Figure \* ARABIC ">
        <w:r>
          <w:t>30</w:t>
        </w:r>
      </w:fldSimple>
      <w:bookmarkEnd w:id="231"/>
      <w:r>
        <w:t xml:space="preserve">. </w:t>
      </w:r>
      <w:bookmarkStart w:id="233" w:name="_Toc439154850"/>
      <w:r>
        <w:t>Example Filter Usage</w:t>
      </w:r>
      <w:bookmarkEnd w:id="232"/>
      <w:bookmarkEnd w:id="233"/>
    </w:p>
    <w:p>
      <w:pPr>
        <w:pStyle w:val="Heading2"/>
      </w:pPr>
      <w:bookmarkStart w:id="234" w:name="_Toc467271985"/>
      <w:r>
        <w:t>Using Test Patients</w:t>
      </w:r>
      <w:bookmarkEnd w:id="234"/>
    </w:p>
    <w:p>
      <w:r>
        <w:t xml:space="preserve">Each test patient result can be expanded to show further details on that patient. </w:t>
      </w:r>
      <w:fldSimple w:instr=" REF _Ref440380190  ">
        <w:r>
          <w:t xml:space="preserve">Figure </w:t>
        </w:r>
        <w:r>
          <w:rPr>
            <w:noProof/>
          </w:rPr>
          <w:t>31</w:t>
        </w:r>
      </w:fldSimple>
      <w:r>
        <w:t xml:space="preserve"> shows the patient summary and the calculated results for that patient.</w:t>
      </w:r>
    </w:p>
    <w:p>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pPr>
      <w:bookmarkStart w:id="235" w:name="_Ref440380190"/>
      <w:bookmarkStart w:id="236" w:name="_Toc467272021"/>
      <w:r>
        <w:t xml:space="preserve">Figure </w:t>
      </w:r>
      <w:fldSimple w:instr=" SEQ Figure \* ARABIC ">
        <w:r>
          <w:t>31</w:t>
        </w:r>
      </w:fldSimple>
      <w:bookmarkEnd w:id="235"/>
      <w:r>
        <w:t>. Patient Result Details</w:t>
      </w:r>
      <w:bookmarkEnd w:id="236"/>
    </w:p>
    <w:p>
      <w:r>
        <w:t xml:space="preserve">When the patient result is expanded, the measure logic view updates to show how the patient meets the data criteria. In the measure logic view shown in </w:t>
      </w:r>
      <w:fldSimple w:instr=" REF _Ref440380190 ">
        <w:r>
          <w:t>Figure 31</w:t>
        </w:r>
      </w:fldSimple>
      <w:r>
        <w:t>, the patient has data criteria that meet the green lines of logic.</w:t>
      </w:r>
    </w:p>
    <w:p>
      <w:pPr>
        <w:spacing w:after="240"/>
      </w:pPr>
      <w:r>
        <w:t xml:space="preserve">The user can select one or more patients by clicking the checkbox associated with each patient as depicted in </w:t>
      </w:r>
      <w:fldSimple w:instr=" REF _Ref440380307 ">
        <w:r>
          <w:t xml:space="preserve">Figure </w:t>
        </w:r>
        <w:r>
          <w:rPr>
            <w:noProof/>
          </w:rPr>
          <w:t>32</w:t>
        </w:r>
      </w:fldSimple>
      <w:r>
        <w:t>.</w:t>
      </w:r>
    </w:p>
    <w:p>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pPr>
      <w:bookmarkStart w:id="237" w:name="_Ref440380307"/>
      <w:bookmarkStart w:id="238" w:name="_Toc467272022"/>
      <w:r>
        <w:t xml:space="preserve">Figure </w:t>
      </w:r>
      <w:fldSimple w:instr=" SEQ Figure \* ARABIC ">
        <w:r>
          <w:t>32</w:t>
        </w:r>
      </w:fldSimple>
      <w:bookmarkEnd w:id="237"/>
      <w:r>
        <w:t xml:space="preserve">. </w:t>
      </w:r>
      <w:bookmarkStart w:id="239" w:name="_Toc439154851"/>
      <w:r>
        <w:t>Selected Patients</w:t>
      </w:r>
      <w:bookmarkEnd w:id="238"/>
      <w:bookmarkEnd w:id="239"/>
    </w:p>
    <w:p>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
        <w:t>Once patients have been selected, the user can either clone these patients into the measure or export these patients in Quality Reporting Document Architecture (QRDA) and Hypertext Markup Language (HTML) formats.</w:t>
      </w:r>
    </w:p>
    <w:p/>
    <w:p>
      <w:pPr>
        <w:sectPr>
          <w:headerReference w:type="first" r:id="rId68"/>
          <w:footerReference w:type="first" r:id="rId69"/>
          <w:pgSz w:w="12240" w:h="15840" w:code="1"/>
          <w:pgMar w:top="1440" w:right="1440" w:bottom="1440" w:left="1440" w:header="504" w:footer="504" w:gutter="0"/>
          <w:cols w:space="720"/>
          <w:titlePg/>
          <w:docGrid w:linePitch="360"/>
        </w:sectPr>
      </w:pPr>
    </w:p>
    <w:p>
      <w:pPr>
        <w:pStyle w:val="Heading1"/>
      </w:pPr>
      <w:bookmarkStart w:id="240" w:name="_Toc467271986"/>
      <w:r>
        <w:lastRenderedPageBreak/>
        <w:t>Additional Tools</w:t>
      </w:r>
      <w:bookmarkEnd w:id="240"/>
    </w:p>
    <w:p>
      <w:r>
        <w:t xml:space="preserve">Bonnie features additional tools that may be activated on a per-account basis by sending an email to the Bonnie feedback list </w:t>
      </w:r>
      <w:hyperlink r:id="rId70" w:history="1">
        <w:r>
          <w:rPr>
            <w:rStyle w:val="Hyperlink"/>
          </w:rPr>
          <w:t>bonnie-feedback-list@lists.mitre.org</w:t>
        </w:r>
      </w:hyperlink>
      <w:r>
        <w:t>.</w:t>
      </w:r>
    </w:p>
    <w:p>
      <w:pPr>
        <w:pStyle w:val="Heading2"/>
      </w:pPr>
      <w:bookmarkStart w:id="241" w:name="_Toc290531591"/>
      <w:bookmarkStart w:id="242" w:name="_Toc467271987"/>
      <w:r>
        <w:t>Complexity and Change Dashboard</w:t>
      </w:r>
      <w:bookmarkEnd w:id="241"/>
      <w:bookmarkEnd w:id="242"/>
    </w:p>
    <w:p>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r>
          <w:t xml:space="preserve">Figure </w:t>
        </w:r>
        <w:r>
          <w:rPr>
            <w:noProof/>
          </w:rPr>
          <w:t>33</w:t>
        </w:r>
      </w:fldSimple>
      <w:r>
        <w:t xml:space="preserve">. The initial page invites the user to select two sets of measures for comparison before proceeding. </w:t>
      </w:r>
      <w:fldSimple w:instr=" REF _Ref440380475 ">
        <w:r>
          <w:t xml:space="preserve">Figure </w:t>
        </w:r>
        <w:r>
          <w:rPr>
            <w:noProof/>
          </w:rPr>
          <w:t>34</w:t>
        </w:r>
      </w:fldSimple>
      <w:r>
        <w:t xml:space="preserve"> provides a screenshot of the complexity graph produced and </w:t>
      </w:r>
      <w:fldSimple w:instr=" REF _Ref440380517 ">
        <w:r>
          <w:t xml:space="preserve">Figure </w:t>
        </w:r>
        <w:r>
          <w:rPr>
            <w:noProof/>
          </w:rPr>
          <w:t>35</w:t>
        </w:r>
      </w:fldSimple>
      <w:r>
        <w:t xml:space="preserve"> shows the complexity grid available from this screen.</w:t>
      </w:r>
    </w:p>
    <w:p>
      <w:pPr>
        <w:pStyle w:val="Figure"/>
        <w:rPr>
          <w:b w:val="0"/>
        </w:rPr>
      </w:pPr>
      <w:r>
        <w:rPr>
          <w:noProof/>
        </w:rPr>
        <w:drawing>
          <wp:inline distT="0" distB="0" distL="0" distR="0">
            <wp:extent cx="5486400" cy="1645920"/>
            <wp:effectExtent l="19050" t="19050" r="19050" b="11430"/>
            <wp:docPr id="12" name="Picture 12" descr="This figure shows how to select sets of measure to compare from the &quot;Complexity&quot; option i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pPr>
        <w:pStyle w:val="FigureCaption"/>
      </w:pPr>
      <w:bookmarkStart w:id="243" w:name="_Ref440380401"/>
      <w:bookmarkStart w:id="244" w:name="_Toc467272023"/>
      <w:r>
        <w:t xml:space="preserve">Figure </w:t>
      </w:r>
      <w:fldSimple w:instr=" SEQ Figure \* ARABIC ">
        <w:r>
          <w:t>33</w:t>
        </w:r>
      </w:fldSimple>
      <w:bookmarkEnd w:id="243"/>
      <w:r>
        <w:t>. Selecting Sets of Measures to Compare</w:t>
      </w:r>
      <w:bookmarkEnd w:id="244"/>
    </w:p>
    <w:p>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pPr>
      <w:bookmarkStart w:id="245" w:name="_Ref440380475"/>
      <w:bookmarkStart w:id="246" w:name="_Toc467272024"/>
      <w:r>
        <w:t xml:space="preserve">Figure </w:t>
      </w:r>
      <w:fldSimple w:instr=" SEQ Figure \* ARABIC ">
        <w:r>
          <w:t>34</w:t>
        </w:r>
      </w:fldSimple>
      <w:bookmarkEnd w:id="245"/>
      <w:r>
        <w:t xml:space="preserve">. </w:t>
      </w:r>
      <w:bookmarkStart w:id="247" w:name="_Toc439154852"/>
      <w:r>
        <w:t>Complexity Graph</w:t>
      </w:r>
      <w:bookmarkEnd w:id="246"/>
      <w:bookmarkEnd w:id="247"/>
    </w:p>
    <w:p>
      <w:pPr>
        <w:pStyle w:val="Figure"/>
        <w:rPr>
          <w:b w:val="0"/>
        </w:rPr>
      </w:pPr>
      <w:r>
        <w:rPr>
          <w:noProof/>
        </w:rPr>
        <w:lastRenderedPageBreak/>
        <w:drawing>
          <wp:inline distT="0" distB="0" distL="0" distR="0">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pPr>
      <w:bookmarkStart w:id="248" w:name="_Ref440380517"/>
      <w:bookmarkStart w:id="249" w:name="_Toc467272025"/>
      <w:r>
        <w:t xml:space="preserve">Figure </w:t>
      </w:r>
      <w:fldSimple w:instr=" SEQ Figure \* ARABIC ">
        <w:r>
          <w:t>35</w:t>
        </w:r>
      </w:fldSimple>
      <w:bookmarkEnd w:id="248"/>
      <w:r>
        <w:t>. Complexity Grid</w:t>
      </w:r>
      <w:bookmarkEnd w:id="249"/>
    </w:p>
    <w:p>
      <w:pPr>
        <w:spacing w:after="240"/>
      </w:pPr>
      <w:r>
        <w:t xml:space="preserve">On either view, hovering the cursor over the displayed circles on either view will reveal a popup with more details on how that measure has changed. In </w:t>
      </w:r>
      <w:fldSimple w:instr=" REF _Ref440380614 ">
        <w:r>
          <w:t xml:space="preserve">Figure </w:t>
        </w:r>
        <w:r>
          <w:rPr>
            <w:noProof/>
          </w:rPr>
          <w:t>36</w:t>
        </w:r>
      </w:fldSimple>
      <w:r>
        <w:rPr>
          <w:noProof/>
        </w:rPr>
        <w:t>,</w:t>
      </w:r>
      <w:r>
        <w:t xml:space="preserve"> the measure popup shows a change from a slightly complex denominator to a simple one.</w:t>
      </w:r>
    </w:p>
    <w:p>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pPr>
        <w:pStyle w:val="FigureCaption"/>
      </w:pPr>
      <w:bookmarkStart w:id="250" w:name="_Ref440380614"/>
      <w:bookmarkStart w:id="251" w:name="_Toc467272026"/>
      <w:r>
        <w:t xml:space="preserve">Figure </w:t>
      </w:r>
      <w:fldSimple w:instr=" SEQ Figure \* ARABIC ">
        <w:r>
          <w:t>36</w:t>
        </w:r>
      </w:fldSimple>
      <w:bookmarkEnd w:id="250"/>
      <w:r>
        <w:t xml:space="preserve">. </w:t>
      </w:r>
      <w:bookmarkStart w:id="252" w:name="_Toc439154853"/>
      <w:r>
        <w:t>Measure Complexity Change Details</w:t>
      </w:r>
      <w:bookmarkEnd w:id="251"/>
      <w:bookmarkEnd w:id="252"/>
    </w:p>
    <w:p>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r>
          <w:t xml:space="preserve">Figure </w:t>
        </w:r>
        <w:r>
          <w:rPr>
            <w:noProof/>
          </w:rPr>
          <w:t>37</w:t>
        </w:r>
      </w:fldSimple>
      <w:r>
        <w:t xml:space="preserve"> shows the measure difference sorted by size.</w:t>
      </w:r>
    </w:p>
    <w:p>
      <w:pPr>
        <w:pStyle w:val="Figure"/>
        <w:rPr>
          <w:b w:val="0"/>
        </w:rPr>
      </w:pPr>
      <w:r>
        <w:rPr>
          <w:noProof/>
        </w:rPr>
        <w:lastRenderedPageBreak/>
        <w:drawing>
          <wp:inline distT="0" distB="0" distL="0" distR="0">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pPr>
        <w:pStyle w:val="FigureCaption"/>
      </w:pPr>
      <w:bookmarkStart w:id="253" w:name="_Ref440380718"/>
      <w:bookmarkStart w:id="254" w:name="_Toc467272027"/>
      <w:r>
        <w:t xml:space="preserve">Figure </w:t>
      </w:r>
      <w:fldSimple w:instr=" SEQ Figure \* ARABIC ">
        <w:r>
          <w:t>37</w:t>
        </w:r>
      </w:fldSimple>
      <w:bookmarkEnd w:id="253"/>
      <w:r>
        <w:t>. Measure Difference Sorted by Size</w:t>
      </w:r>
      <w:bookmarkEnd w:id="254"/>
    </w:p>
    <w:p/>
    <w:p>
      <w:pPr>
        <w:sectPr>
          <w:headerReference w:type="first" r:id="rId76"/>
          <w:footerReference w:type="first" r:id="rId77"/>
          <w:pgSz w:w="12240" w:h="15840" w:code="1"/>
          <w:pgMar w:top="1440" w:right="1440" w:bottom="1440" w:left="1440" w:header="504" w:footer="504" w:gutter="0"/>
          <w:cols w:space="720"/>
          <w:titlePg/>
          <w:docGrid w:linePitch="360"/>
        </w:sectPr>
      </w:pPr>
    </w:p>
    <w:p>
      <w:pPr>
        <w:pStyle w:val="Heading1"/>
      </w:pPr>
      <w:bookmarkStart w:id="255" w:name="_Toc467271988"/>
      <w:r>
        <w:lastRenderedPageBreak/>
        <w:t>Feedback and Support</w:t>
      </w:r>
      <w:bookmarkEnd w:id="255"/>
    </w:p>
    <w:p>
      <w:r>
        <w:t xml:space="preserve">An issue tracker and feedback email list are available to support the resolution of issues and to answer questions related to the Bonnie application. The Bonnie issue tracker is available on the ONC Jira system at: </w:t>
      </w:r>
      <w:hyperlink r:id="rId78" w:history="1">
        <w:r>
          <w:rPr>
            <w:rStyle w:val="Hyperlink"/>
          </w:rPr>
          <w:t>http://jira.oncprojectracking.org/browse/BONNIE</w:t>
        </w:r>
      </w:hyperlink>
    </w:p>
    <w:p>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79" w:history="1">
        <w:r>
          <w:rPr>
            <w:rStyle w:val="Hyperlink"/>
          </w:rPr>
          <w:t>bonnie-feedback-list@lists.mitre.org</w:t>
        </w:r>
      </w:hyperlink>
      <w:r>
        <w:t>. The Bonnie feedback list email can be accessed using the “Contact” link in the main Bonnie navigation menu at the top of every page.</w:t>
      </w:r>
    </w:p>
    <w:p>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t xml:space="preserve">Figure </w:t>
        </w:r>
        <w:r>
          <w:rPr>
            <w:noProof/>
          </w:rPr>
          <w:t>38</w:t>
        </w:r>
      </w:fldSimple>
      <w:r>
        <w:t xml:space="preserve"> or the User Group option in the Help menu in the application header shown in </w:t>
      </w:r>
      <w:fldSimple w:instr=" REF _Ref459099293 ">
        <w:r>
          <w:t xml:space="preserve">Figure </w:t>
        </w:r>
        <w:r>
          <w:rPr>
            <w:noProof/>
          </w:rPr>
          <w:t>39</w:t>
        </w:r>
      </w:fldSimple>
      <w:r>
        <w:t>.</w:t>
      </w:r>
    </w:p>
    <w:p>
      <w:pPr>
        <w:pStyle w:val="Figure"/>
        <w:rPr>
          <w:b w:val="0"/>
        </w:rPr>
      </w:pPr>
      <w:r>
        <w:rPr>
          <w:noProof/>
        </w:rPr>
        <w:drawing>
          <wp:inline distT="0" distB="0" distL="0" distR="0">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pPr>
        <w:pStyle w:val="FigureCaption"/>
      </w:pPr>
      <w:bookmarkStart w:id="256" w:name="_Ref459099283"/>
      <w:bookmarkStart w:id="257" w:name="_Toc467272028"/>
      <w:r>
        <w:t xml:space="preserve">Figure </w:t>
      </w:r>
      <w:fldSimple w:instr=" SEQ Figure \* ARABIC ">
        <w:r>
          <w:t>38</w:t>
        </w:r>
      </w:fldSimple>
      <w:bookmarkEnd w:id="256"/>
      <w:r>
        <w:t>. User Group Link on Bonnie Splash Page</w:t>
      </w:r>
      <w:bookmarkEnd w:id="257"/>
    </w:p>
    <w:p>
      <w:pPr>
        <w:pStyle w:val="Figure"/>
        <w:rPr>
          <w:b w:val="0"/>
        </w:rPr>
      </w:pPr>
      <w:r>
        <w:rPr>
          <w:noProof/>
        </w:rPr>
        <w:drawing>
          <wp:inline distT="0" distB="0" distL="0" distR="0">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pPr>
        <w:pStyle w:val="FigureCaption"/>
      </w:pPr>
      <w:bookmarkStart w:id="258" w:name="_Ref459099293"/>
      <w:bookmarkStart w:id="259" w:name="_Toc467272029"/>
      <w:r>
        <w:t xml:space="preserve">Figure </w:t>
      </w:r>
      <w:fldSimple w:instr=" SEQ Figure \* ARABIC ">
        <w:r>
          <w:t>39</w:t>
        </w:r>
      </w:fldSimple>
      <w:bookmarkEnd w:id="258"/>
      <w:r>
        <w:t>. User Group Link in the Application Header</w:t>
      </w:r>
      <w:bookmarkEnd w:id="259"/>
    </w:p>
    <w:p/>
    <w:p>
      <w:pPr>
        <w:sectPr>
          <w:pgSz w:w="12240" w:h="15840" w:code="1"/>
          <w:pgMar w:top="1440" w:right="1440" w:bottom="1440" w:left="1440" w:header="504" w:footer="504" w:gutter="0"/>
          <w:cols w:space="720"/>
          <w:titlePg/>
          <w:docGrid w:linePitch="360"/>
        </w:sectPr>
      </w:pPr>
    </w:p>
    <w:p>
      <w:pPr>
        <w:pStyle w:val="Heading1"/>
      </w:pPr>
      <w:bookmarkStart w:id="260" w:name="_Toc467271989"/>
      <w:r>
        <w:lastRenderedPageBreak/>
        <w:t>Frequently Asked Questions</w:t>
      </w:r>
      <w:bookmarkEnd w:id="260"/>
    </w:p>
    <w:p>
      <w:pPr>
        <w:pStyle w:val="FAQ"/>
      </w:pPr>
      <w:r>
        <w:t>Does Bonnie replace Cypress or is it an alternative to Cypress for certification?</w:t>
      </w:r>
    </w:p>
    <w:p>
      <w:r>
        <w:t>No. Bonnie is a testing tool for measure developers to test measures as they are being authored, while Cypress is the Meaningful Use certification tool. Bonnie cannot be used for Meaningful Use certification for vendors.</w:t>
      </w:r>
    </w:p>
    <w:p>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pPr>
        <w:pStyle w:val="FAQ"/>
      </w:pPr>
      <w:r>
        <w:t>Can I export patient records from Bonnie?</w:t>
      </w:r>
    </w:p>
    <w:p>
      <w:r>
        <w:t>Users can export test patients constructed using Bonnie in a human-readable (HTML) format and in the QRDA Category 1 format.</w:t>
      </w:r>
    </w:p>
    <w:p>
      <w:pPr>
        <w:pStyle w:val="FAQ"/>
      </w:pPr>
      <w:r>
        <w:t>Can I load patient records into Bonnie?</w:t>
      </w:r>
    </w:p>
    <w:p>
      <w:r>
        <w:t>Currently, Bonnie does not support loading patient records into the tool. If you would like to calculate clinical quality measures using existing patients, the popHealth tool may be a better solution.</w:t>
      </w:r>
    </w:p>
    <w:p>
      <w:pPr>
        <w:pStyle w:val="FAQ"/>
      </w:pPr>
      <w:r>
        <w:t>Does Bonnie automatically generate patient records?</w:t>
      </w:r>
    </w:p>
    <w:p>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pPr>
        <w:pStyle w:val="FAQ"/>
      </w:pPr>
      <w:r>
        <w:t>My patient does not match the logic of the Initial Population. Why is the patient passing?</w:t>
      </w:r>
    </w:p>
    <w:p>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pPr>
        <w:pStyle w:val="FAQ"/>
      </w:pPr>
      <w:r>
        <w:lastRenderedPageBreak/>
        <w:t>Can I use patients that I’ve built in one measure for another measure?</w:t>
      </w:r>
    </w:p>
    <w:p>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pPr>
        <w:pStyle w:val="FAQ"/>
      </w:pPr>
      <w:r>
        <w:t>Where can I get help with Bonnie?</w:t>
      </w:r>
    </w:p>
    <w:p>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pPr>
        <w:pStyle w:val="FAQ"/>
      </w:pPr>
      <w:r>
        <w:t>What measure formats can I load into the Bonnie tool?</w:t>
      </w:r>
    </w:p>
    <w:p>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pPr>
        <w:pStyle w:val="FAQ"/>
      </w:pPr>
      <w:r>
        <w:t>Do I have to be a measure developer to use the Bonnie tool?</w:t>
      </w:r>
    </w:p>
    <w:p>
      <w:r>
        <w:t>No. Anyone can sign up for a Bonnie account using the register link on the login page.</w:t>
      </w:r>
    </w:p>
    <w:p>
      <w:pPr>
        <w:pStyle w:val="FAQ"/>
      </w:pPr>
      <w:r>
        <w:t>Do I need to be a Measure Authoring Tool user to use the Bonnie tool?</w:t>
      </w:r>
    </w:p>
    <w:p>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pPr>
        <w:pStyle w:val="FAQ"/>
      </w:pPr>
      <w:r>
        <w:t>Can Bonnie be used to calculate the results for a large number of patient records?</w:t>
      </w:r>
    </w:p>
    <w:p>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p>
      <w:pPr>
        <w:pStyle w:val="Reference"/>
        <w:sectPr>
          <w:pgSz w:w="12240" w:h="15840" w:code="1"/>
          <w:pgMar w:top="1440" w:right="1440" w:bottom="1440" w:left="1440" w:header="504" w:footer="504" w:gutter="0"/>
          <w:cols w:space="720"/>
          <w:titlePg/>
          <w:docGrid w:linePitch="360"/>
        </w:sectPr>
      </w:pPr>
    </w:p>
    <w:p>
      <w:pPr>
        <w:pStyle w:val="BackMatterHeading"/>
        <w:spacing w:after="120"/>
      </w:pPr>
      <w:bookmarkStart w:id="261" w:name="_Toc467271990"/>
      <w:r>
        <w:lastRenderedPageBreak/>
        <w:t>Acronyms</w:t>
      </w:r>
      <w:bookmarkEnd w:id="261"/>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trPr>
          <w:cantSplit/>
          <w:tblHeader/>
        </w:trPr>
        <w:tc>
          <w:tcPr>
            <w:tcW w:w="1305" w:type="dxa"/>
          </w:tcPr>
          <w:p>
            <w:pPr>
              <w:pStyle w:val="TableColumnHeading"/>
              <w:spacing w:before="0" w:after="120"/>
              <w:rPr>
                <w:color w:val="FFFFFF" w:themeColor="background1"/>
              </w:rPr>
            </w:pPr>
            <w:r>
              <w:rPr>
                <w:color w:val="FFFFFF" w:themeColor="background1"/>
              </w:rPr>
              <w:t>Term</w:t>
            </w:r>
          </w:p>
        </w:tc>
        <w:tc>
          <w:tcPr>
            <w:tcW w:w="8055" w:type="dxa"/>
          </w:tcPr>
          <w:p>
            <w:pPr>
              <w:pStyle w:val="TableColumnHeading"/>
              <w:spacing w:before="0" w:after="120"/>
              <w:rPr>
                <w:color w:val="FFFFFF" w:themeColor="background1"/>
              </w:rPr>
            </w:pPr>
            <w:r>
              <w:rPr>
                <w:color w:val="FFFFFF" w:themeColor="background1"/>
              </w:rPr>
              <w:t>Definition</w:t>
            </w:r>
          </w:p>
        </w:tc>
      </w:tr>
      <w:tr>
        <w:tc>
          <w:tcPr>
            <w:tcW w:w="1305" w:type="dxa"/>
          </w:tcPr>
          <w:p>
            <w:pPr>
              <w:pStyle w:val="AcronymTerm"/>
              <w:spacing w:before="0" w:after="120"/>
            </w:pPr>
            <w:r>
              <w:t>CMD</w:t>
            </w:r>
          </w:p>
        </w:tc>
        <w:tc>
          <w:tcPr>
            <w:tcW w:w="8055" w:type="dxa"/>
          </w:tcPr>
          <w:p>
            <w:pPr>
              <w:pStyle w:val="AcronymDefinition"/>
              <w:spacing w:before="0" w:after="120"/>
            </w:pPr>
            <w:r>
              <w:t>Cumulative Medication Duration</w:t>
            </w:r>
          </w:p>
        </w:tc>
      </w:tr>
      <w:tr>
        <w:tc>
          <w:tcPr>
            <w:tcW w:w="1305" w:type="dxa"/>
          </w:tcPr>
          <w:p>
            <w:pPr>
              <w:pStyle w:val="AcronymTerm"/>
              <w:spacing w:before="0" w:after="120"/>
            </w:pPr>
            <w:r>
              <w:t>CMS</w:t>
            </w:r>
          </w:p>
        </w:tc>
        <w:tc>
          <w:tcPr>
            <w:tcW w:w="8055" w:type="dxa"/>
          </w:tcPr>
          <w:p>
            <w:pPr>
              <w:pStyle w:val="AcronymDefinition"/>
              <w:spacing w:before="0" w:after="120"/>
            </w:pPr>
            <w:r>
              <w:t>Centers for Medicare &amp; Medicaid Services</w:t>
            </w:r>
          </w:p>
        </w:tc>
      </w:tr>
      <w:tr>
        <w:tc>
          <w:tcPr>
            <w:tcW w:w="1305" w:type="dxa"/>
          </w:tcPr>
          <w:p>
            <w:pPr>
              <w:pStyle w:val="AcronymTerm"/>
              <w:spacing w:before="0" w:after="120"/>
            </w:pPr>
            <w:r>
              <w:t>CQL</w:t>
            </w:r>
          </w:p>
        </w:tc>
        <w:tc>
          <w:tcPr>
            <w:tcW w:w="8055" w:type="dxa"/>
          </w:tcPr>
          <w:p>
            <w:pPr>
              <w:pStyle w:val="AcronymDefinition"/>
              <w:spacing w:before="0" w:after="120"/>
            </w:pPr>
            <w:r>
              <w:t>Clinical Quality Language</w:t>
            </w:r>
          </w:p>
        </w:tc>
      </w:tr>
      <w:tr>
        <w:tc>
          <w:tcPr>
            <w:tcW w:w="1305" w:type="dxa"/>
          </w:tcPr>
          <w:p>
            <w:pPr>
              <w:pStyle w:val="AcronymTerm"/>
              <w:spacing w:before="0" w:after="120"/>
            </w:pPr>
            <w:r>
              <w:t>CQM</w:t>
            </w:r>
          </w:p>
        </w:tc>
        <w:tc>
          <w:tcPr>
            <w:tcW w:w="8055" w:type="dxa"/>
          </w:tcPr>
          <w:p>
            <w:pPr>
              <w:pStyle w:val="AcronymDefinition"/>
              <w:spacing w:before="0" w:after="120"/>
            </w:pPr>
            <w:r>
              <w:t>Clinical Quality Measure</w:t>
            </w:r>
          </w:p>
        </w:tc>
      </w:tr>
      <w:tr>
        <w:tc>
          <w:tcPr>
            <w:tcW w:w="1305" w:type="dxa"/>
          </w:tcPr>
          <w:p>
            <w:pPr>
              <w:pStyle w:val="AcronymTerm"/>
              <w:spacing w:before="0" w:after="120"/>
            </w:pPr>
            <w:r>
              <w:t>eCQM</w:t>
            </w:r>
          </w:p>
        </w:tc>
        <w:tc>
          <w:tcPr>
            <w:tcW w:w="8055" w:type="dxa"/>
          </w:tcPr>
          <w:p>
            <w:pPr>
              <w:pStyle w:val="AcronymDefinition"/>
              <w:spacing w:before="0" w:after="120"/>
            </w:pPr>
            <w:r>
              <w:t>electronic Clinical Quality Measure</w:t>
            </w:r>
          </w:p>
        </w:tc>
      </w:tr>
      <w:tr>
        <w:tc>
          <w:tcPr>
            <w:tcW w:w="1305" w:type="dxa"/>
          </w:tcPr>
          <w:p>
            <w:pPr>
              <w:pStyle w:val="AcronymTerm"/>
              <w:spacing w:before="0" w:after="120"/>
            </w:pPr>
            <w:r>
              <w:t>ED</w:t>
            </w:r>
          </w:p>
        </w:tc>
        <w:tc>
          <w:tcPr>
            <w:tcW w:w="8055" w:type="dxa"/>
          </w:tcPr>
          <w:p>
            <w:pPr>
              <w:pStyle w:val="AcronymDefinition"/>
              <w:spacing w:before="0" w:after="120"/>
            </w:pPr>
            <w:r>
              <w:t>Emergency Department</w:t>
            </w:r>
          </w:p>
        </w:tc>
      </w:tr>
      <w:tr>
        <w:tc>
          <w:tcPr>
            <w:tcW w:w="1305" w:type="dxa"/>
          </w:tcPr>
          <w:p>
            <w:pPr>
              <w:pStyle w:val="AcronymTerm"/>
              <w:spacing w:before="0" w:after="120"/>
            </w:pPr>
            <w:r>
              <w:t>EH</w:t>
            </w:r>
          </w:p>
        </w:tc>
        <w:tc>
          <w:tcPr>
            <w:tcW w:w="8055" w:type="dxa"/>
          </w:tcPr>
          <w:p>
            <w:pPr>
              <w:pStyle w:val="AcronymDefinition"/>
              <w:spacing w:before="0" w:after="120"/>
            </w:pPr>
            <w:r>
              <w:t>Eligible Hospital</w:t>
            </w:r>
          </w:p>
        </w:tc>
      </w:tr>
      <w:tr>
        <w:tc>
          <w:tcPr>
            <w:tcW w:w="1305" w:type="dxa"/>
          </w:tcPr>
          <w:p>
            <w:pPr>
              <w:pStyle w:val="AcronymTerm"/>
              <w:spacing w:before="0" w:after="120"/>
            </w:pPr>
            <w:r>
              <w:t>EP</w:t>
            </w:r>
          </w:p>
        </w:tc>
        <w:tc>
          <w:tcPr>
            <w:tcW w:w="8055" w:type="dxa"/>
          </w:tcPr>
          <w:p>
            <w:pPr>
              <w:pStyle w:val="AcronymDefinition"/>
              <w:spacing w:before="0" w:after="120"/>
            </w:pPr>
            <w:r>
              <w:t>Eligible Professional</w:t>
            </w:r>
          </w:p>
        </w:tc>
      </w:tr>
      <w:tr>
        <w:tc>
          <w:tcPr>
            <w:tcW w:w="1305" w:type="dxa"/>
          </w:tcPr>
          <w:p>
            <w:pPr>
              <w:pStyle w:val="AcronymTerm"/>
              <w:spacing w:before="0" w:after="120"/>
            </w:pPr>
            <w:r>
              <w:t>HHS</w:t>
            </w:r>
          </w:p>
        </w:tc>
        <w:tc>
          <w:tcPr>
            <w:tcW w:w="8055" w:type="dxa"/>
          </w:tcPr>
          <w:p>
            <w:pPr>
              <w:pStyle w:val="AcronymDefinition"/>
              <w:spacing w:before="0" w:after="120"/>
            </w:pPr>
            <w:r>
              <w:t>Department of Health and Human Services</w:t>
            </w:r>
          </w:p>
        </w:tc>
      </w:tr>
      <w:tr>
        <w:tc>
          <w:tcPr>
            <w:tcW w:w="1305" w:type="dxa"/>
          </w:tcPr>
          <w:p>
            <w:pPr>
              <w:pStyle w:val="AcronymTerm"/>
              <w:spacing w:before="0" w:after="120"/>
            </w:pPr>
            <w:r>
              <w:t>HQMF</w:t>
            </w:r>
          </w:p>
        </w:tc>
        <w:tc>
          <w:tcPr>
            <w:tcW w:w="8055" w:type="dxa"/>
          </w:tcPr>
          <w:p>
            <w:pPr>
              <w:pStyle w:val="AcronymDefinition"/>
              <w:spacing w:before="0" w:after="120"/>
            </w:pPr>
            <w:r>
              <w:t>Health Quality Measure Format</w:t>
            </w:r>
          </w:p>
        </w:tc>
      </w:tr>
      <w:tr>
        <w:tc>
          <w:tcPr>
            <w:tcW w:w="1305" w:type="dxa"/>
          </w:tcPr>
          <w:p>
            <w:pPr>
              <w:pStyle w:val="AcronymTerm"/>
              <w:spacing w:before="0" w:after="120"/>
            </w:pPr>
            <w:r>
              <w:t>HTML</w:t>
            </w:r>
          </w:p>
        </w:tc>
        <w:tc>
          <w:tcPr>
            <w:tcW w:w="8055" w:type="dxa"/>
          </w:tcPr>
          <w:p>
            <w:pPr>
              <w:pStyle w:val="AcronymDefinition"/>
              <w:spacing w:before="0" w:after="120"/>
            </w:pPr>
            <w:r>
              <w:t>Hypertext Markup Language</w:t>
            </w:r>
          </w:p>
        </w:tc>
      </w:tr>
      <w:tr>
        <w:tc>
          <w:tcPr>
            <w:tcW w:w="1305" w:type="dxa"/>
          </w:tcPr>
          <w:p>
            <w:pPr>
              <w:pStyle w:val="AcronymTerm"/>
              <w:spacing w:before="0" w:after="120"/>
            </w:pPr>
            <w:r>
              <w:t>MAT</w:t>
            </w:r>
          </w:p>
        </w:tc>
        <w:tc>
          <w:tcPr>
            <w:tcW w:w="8055" w:type="dxa"/>
          </w:tcPr>
          <w:p>
            <w:pPr>
              <w:pStyle w:val="AcronymDefinition"/>
              <w:spacing w:before="0" w:after="120"/>
            </w:pPr>
            <w:r>
              <w:t>Measure Authoring Tool</w:t>
            </w:r>
          </w:p>
        </w:tc>
      </w:tr>
      <w:tr>
        <w:tc>
          <w:tcPr>
            <w:tcW w:w="1305" w:type="dxa"/>
          </w:tcPr>
          <w:p>
            <w:pPr>
              <w:pStyle w:val="AcronymTerm"/>
              <w:spacing w:before="0" w:after="120"/>
            </w:pPr>
            <w:r>
              <w:t>MU</w:t>
            </w:r>
          </w:p>
        </w:tc>
        <w:tc>
          <w:tcPr>
            <w:tcW w:w="8055" w:type="dxa"/>
          </w:tcPr>
          <w:p>
            <w:pPr>
              <w:pStyle w:val="AcronymDefinition"/>
              <w:spacing w:before="0" w:after="120"/>
            </w:pPr>
            <w:r>
              <w:t>Meaningful Use</w:t>
            </w:r>
          </w:p>
        </w:tc>
      </w:tr>
      <w:tr>
        <w:tc>
          <w:tcPr>
            <w:tcW w:w="1305" w:type="dxa"/>
          </w:tcPr>
          <w:p>
            <w:pPr>
              <w:pStyle w:val="AcronymTerm"/>
              <w:spacing w:before="0" w:after="120"/>
            </w:pPr>
            <w:r>
              <w:t>NLM</w:t>
            </w:r>
          </w:p>
        </w:tc>
        <w:tc>
          <w:tcPr>
            <w:tcW w:w="8055" w:type="dxa"/>
          </w:tcPr>
          <w:p>
            <w:pPr>
              <w:pStyle w:val="AcronymDefinition"/>
              <w:spacing w:before="0" w:after="120"/>
            </w:pPr>
            <w:r>
              <w:t>National Library of Medicine</w:t>
            </w:r>
          </w:p>
        </w:tc>
      </w:tr>
      <w:tr>
        <w:tc>
          <w:tcPr>
            <w:tcW w:w="1305" w:type="dxa"/>
          </w:tcPr>
          <w:p>
            <w:pPr>
              <w:pStyle w:val="AcronymTerm"/>
              <w:spacing w:before="0" w:after="120"/>
            </w:pPr>
            <w:r>
              <w:t>ONC</w:t>
            </w:r>
          </w:p>
        </w:tc>
        <w:tc>
          <w:tcPr>
            <w:tcW w:w="8055" w:type="dxa"/>
          </w:tcPr>
          <w:p>
            <w:pPr>
              <w:pStyle w:val="AcronymDefinition"/>
              <w:spacing w:before="0" w:after="120"/>
            </w:pPr>
            <w:r>
              <w:t>Office of National Coordinator for Health Information Technology</w:t>
            </w:r>
          </w:p>
        </w:tc>
      </w:tr>
      <w:tr>
        <w:tc>
          <w:tcPr>
            <w:tcW w:w="1305" w:type="dxa"/>
          </w:tcPr>
          <w:p>
            <w:pPr>
              <w:pStyle w:val="AcronymTerm"/>
              <w:spacing w:before="0" w:after="120"/>
            </w:pPr>
            <w:r>
              <w:t>QDM</w:t>
            </w:r>
          </w:p>
        </w:tc>
        <w:tc>
          <w:tcPr>
            <w:tcW w:w="8055" w:type="dxa"/>
          </w:tcPr>
          <w:p>
            <w:pPr>
              <w:pStyle w:val="AcronymDefinition"/>
              <w:spacing w:before="0" w:after="120"/>
            </w:pPr>
            <w:r>
              <w:t>Quality Data Model</w:t>
            </w:r>
          </w:p>
        </w:tc>
      </w:tr>
      <w:tr>
        <w:tc>
          <w:tcPr>
            <w:tcW w:w="1305" w:type="dxa"/>
          </w:tcPr>
          <w:p>
            <w:pPr>
              <w:pStyle w:val="AcronymTerm"/>
              <w:spacing w:before="0" w:after="120"/>
            </w:pPr>
            <w:r>
              <w:t>QRDA</w:t>
            </w:r>
          </w:p>
        </w:tc>
        <w:tc>
          <w:tcPr>
            <w:tcW w:w="8055" w:type="dxa"/>
          </w:tcPr>
          <w:p>
            <w:pPr>
              <w:pStyle w:val="AcronymDefinition"/>
              <w:spacing w:before="0" w:after="120"/>
            </w:pPr>
            <w:r>
              <w:t>Quality Reporting Document Architecture</w:t>
            </w:r>
          </w:p>
        </w:tc>
      </w:tr>
      <w:tr>
        <w:tc>
          <w:tcPr>
            <w:tcW w:w="1305" w:type="dxa"/>
          </w:tcPr>
          <w:p>
            <w:pPr>
              <w:pStyle w:val="AcronymTerm"/>
              <w:spacing w:before="0" w:after="120"/>
            </w:pPr>
            <w:r>
              <w:t>UI</w:t>
            </w:r>
          </w:p>
        </w:tc>
        <w:tc>
          <w:tcPr>
            <w:tcW w:w="8055" w:type="dxa"/>
          </w:tcPr>
          <w:p>
            <w:pPr>
              <w:pStyle w:val="AcronymDefinition"/>
              <w:spacing w:before="0" w:after="120"/>
            </w:pPr>
            <w:r>
              <w:t>User Interface</w:t>
            </w:r>
          </w:p>
        </w:tc>
      </w:tr>
      <w:tr>
        <w:tc>
          <w:tcPr>
            <w:tcW w:w="1305" w:type="dxa"/>
          </w:tcPr>
          <w:p>
            <w:pPr>
              <w:pStyle w:val="AcronymTerm"/>
              <w:spacing w:before="0" w:after="120"/>
            </w:pPr>
            <w:r>
              <w:t>VSAC</w:t>
            </w:r>
          </w:p>
        </w:tc>
        <w:tc>
          <w:tcPr>
            <w:tcW w:w="8055" w:type="dxa"/>
          </w:tcPr>
          <w:p>
            <w:pPr>
              <w:pStyle w:val="AcronymDefinition"/>
              <w:spacing w:before="0" w:after="120"/>
            </w:pPr>
            <w:r>
              <w:t>Value Set Authority Center</w:t>
            </w:r>
          </w:p>
        </w:tc>
      </w:tr>
      <w:tr>
        <w:tc>
          <w:tcPr>
            <w:tcW w:w="1305" w:type="dxa"/>
          </w:tcPr>
          <w:p>
            <w:pPr>
              <w:pStyle w:val="AcronymTerm"/>
              <w:spacing w:before="0" w:after="120"/>
            </w:pPr>
            <w:r>
              <w:t>XML</w:t>
            </w:r>
          </w:p>
        </w:tc>
        <w:tc>
          <w:tcPr>
            <w:tcW w:w="8055" w:type="dxa"/>
          </w:tcPr>
          <w:p>
            <w:pPr>
              <w:pStyle w:val="AcronymDefinition"/>
              <w:spacing w:before="0" w:after="120"/>
            </w:pPr>
            <w:r>
              <w:t>Extensible Markup Language</w:t>
            </w:r>
          </w:p>
        </w:tc>
      </w:tr>
    </w:tbl>
    <w:p/>
    <w:sectPr>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pPr>
      <w:pStyle w:val="VersionDateLineFooter"/>
    </w:pPr>
    <w:fldSimple w:instr=" STYLEREF  Version  \* MERGEFORMAT ">
      <w:r>
        <w:rPr>
          <w:noProof/>
        </w:rPr>
        <w:t>Version 1.5</w:t>
      </w:r>
    </w:fldSimple>
    <w:r>
      <w:rPr>
        <w:rStyle w:val="PageNumber"/>
      </w:rPr>
      <w:tab/>
    </w:r>
    <w:r>
      <w:rPr>
        <w:rStyle w:val="PageNumber"/>
      </w:rPr>
      <w:tab/>
    </w:r>
    <w:fldSimple w:instr=" STYLEREF  PubDate  \* MERGEFORMAT ">
      <w:r>
        <w:rPr>
          <w:bCs/>
          <w:noProof/>
        </w:rPr>
        <w:t>November 18,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bCs/>
          <w:noProof/>
        </w:rPr>
        <w:t>November 18,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VersionDateLineFooter"/>
      <w:rPr>
        <w:b/>
      </w:rPr>
    </w:pPr>
    <w:fldSimple w:instr=" STYLEREF  Version  \* MERGEFORMAT ">
      <w:r>
        <w:rPr>
          <w:bCs/>
          <w:noProof/>
        </w:rPr>
        <w:t>Version 1.5</w:t>
      </w:r>
    </w:fldSimple>
    <w:r>
      <w:rPr>
        <w:rStyle w:val="PageNumber"/>
        <w:b/>
      </w:rPr>
      <w:tab/>
    </w:r>
    <w:r>
      <w:rPr>
        <w:rStyle w:val="PageNumber"/>
        <w:b/>
      </w:rPr>
      <w:tab/>
    </w:r>
    <w:fldSimple w:instr=" STYLEREF  PubDate  \* MERGEFORMAT ">
      <w:r>
        <w:rPr>
          <w:bCs/>
          <w:noProof/>
        </w:rPr>
        <w:t>November 18,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bCs/>
          <w:noProof/>
        </w:rPr>
        <w:t>November 18,</w:t>
      </w:r>
      <w:r>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pPr>
      <w:pStyle w:val="VersionDateLineFooter"/>
    </w:pPr>
    <w:fldSimple w:instr=" STYLEREF  Version  \* MERGEFORMAT ">
      <w:r>
        <w:rPr>
          <w:bCs/>
          <w:noProof/>
        </w:rPr>
        <w:t>Version 1.5</w:t>
      </w:r>
    </w:fldSimple>
    <w:r>
      <w:rPr>
        <w:rStyle w:val="PageNumber"/>
      </w:rPr>
      <w:tab/>
    </w:r>
    <w:r>
      <w:rPr>
        <w:rStyle w:val="PageNumber"/>
      </w:rPr>
      <w:tab/>
    </w:r>
    <w:fldSimple w:instr=" STYLEREF  PubDate  \* MERGEFORMAT ">
      <w:r>
        <w:rPr>
          <w:noProof/>
        </w:rPr>
        <w:t>November 18,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pPr>
      <w:pStyle w:val="Header"/>
    </w:pPr>
    <w:r>
      <w:fldChar w:fldCharType="begin"/>
    </w:r>
    <w:r>
      <w:instrText xml:space="preserve"> STYLEREF  Draft  \* MERGEFORMAT </w:instrText>
    </w:r>
    <w:r>
      <w:fldChar w:fldCharType="separate"/>
    </w:r>
    <w:r>
      <w:rPr>
        <w:b w:val="0"/>
        <w:noProof/>
      </w:rPr>
      <w:t>Error! Style not defined.</w:t>
    </w:r>
    <w:r>
      <w:fldChar w:fldCharType="end"/>
    </w:r>
  </w:p>
  <w:p>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pPr>
      <w:pStyle w:val="Header"/>
      <w:jc w:val="left"/>
    </w:pPr>
  </w:p>
  <w:p>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fldSimple w:instr=" STYLEREF &quot;Front Matter Header&quot; \* MERGEFORMAT ">
      <w:r>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header" Target="header10.xml"/><Relationship Id="rId47" Type="http://schemas.openxmlformats.org/officeDocument/2006/relationships/image" Target="media/image18.png"/><Relationship Id="rId50" Type="http://schemas.openxmlformats.org/officeDocument/2006/relationships/header" Target="header11.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header" Target="header14.xml"/><Relationship Id="rId76" Type="http://schemas.openxmlformats.org/officeDocument/2006/relationships/header" Target="header15.xml"/><Relationship Id="rId7" Type="http://schemas.openxmlformats.org/officeDocument/2006/relationships/settings" Target="setting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6.png"/><Relationship Id="rId79"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header" Target="header13.xml"/><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footer" Target="footer8.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5.png"/><Relationship Id="rId78" Type="http://schemas.openxmlformats.org/officeDocument/2006/relationships/hyperlink" Target="http://jira.oncprojectracking.org/browse/BONNIE" TargetMode="External"/><Relationship Id="rId81"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footer" Target="footer9.xml"/><Relationship Id="rId48" Type="http://schemas.openxmlformats.org/officeDocument/2006/relationships/image" Target="media/image19.png"/><Relationship Id="rId56" Type="http://schemas.openxmlformats.org/officeDocument/2006/relationships/header" Target="header12.xml"/><Relationship Id="rId64" Type="http://schemas.openxmlformats.org/officeDocument/2006/relationships/image" Target="media/image29.png"/><Relationship Id="rId69" Type="http://schemas.openxmlformats.org/officeDocument/2006/relationships/footer" Target="footer13.xml"/><Relationship Id="rId77" Type="http://schemas.openxmlformats.org/officeDocument/2006/relationships/footer" Target="footer14.xml"/><Relationship Id="rId8" Type="http://schemas.openxmlformats.org/officeDocument/2006/relationships/webSettings" Target="webSettings.xml"/><Relationship Id="rId51" Type="http://schemas.openxmlformats.org/officeDocument/2006/relationships/footer" Target="footer10.xml"/><Relationship Id="rId72" Type="http://schemas.openxmlformats.org/officeDocument/2006/relationships/image" Target="media/image34.png"/><Relationship Id="rId80"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2.xml"/><Relationship Id="rId70" Type="http://schemas.openxmlformats.org/officeDocument/2006/relationships/hyperlink" Target="mailto:bonnie-feedback-list@lists.mitre.org" TargetMode="External"/><Relationship Id="rId75" Type="http://schemas.openxmlformats.org/officeDocument/2006/relationships/image" Target="media/image3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footer" Target="footer1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46199-C6DE-4C77-959A-389C5C96D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5</TotalTime>
  <Pages>50</Pages>
  <Words>10632</Words>
  <Characters>60608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Hoff, Douglas S.</cp:lastModifiedBy>
  <cp:revision>4</cp:revision>
  <cp:lastPrinted>2002-11-19T18:54:00Z</cp:lastPrinted>
  <dcterms:created xsi:type="dcterms:W3CDTF">2016-11-19T03:37:00Z</dcterms:created>
  <dcterms:modified xsi:type="dcterms:W3CDTF">2016-12-07T20:05:00Z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